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30753" w14:textId="2B826C4A" w:rsidR="00BE3424" w:rsidRDefault="00033694" w:rsidP="000A4369">
      <w:pPr>
        <w:spacing w:after="120" w:line="259" w:lineRule="auto"/>
        <w:jc w:val="center"/>
        <w:rPr>
          <w:b/>
          <w:bCs/>
          <w:sz w:val="28"/>
          <w:szCs w:val="28"/>
        </w:rPr>
      </w:pPr>
      <w:r>
        <w:rPr>
          <w:b/>
          <w:bCs/>
          <w:sz w:val="28"/>
          <w:szCs w:val="28"/>
        </w:rPr>
        <w:t>AHC Financial Overview</w:t>
      </w:r>
    </w:p>
    <w:p w14:paraId="7A60C574" w14:textId="5F866324" w:rsidR="007433B1" w:rsidRPr="001B278E" w:rsidRDefault="00C13125" w:rsidP="006D319D">
      <w:pPr>
        <w:pBdr>
          <w:bottom w:val="single" w:sz="4" w:space="1" w:color="auto"/>
        </w:pBdr>
        <w:spacing w:before="120" w:after="120" w:line="259" w:lineRule="auto"/>
        <w:ind w:right="5040"/>
        <w:rPr>
          <w:b/>
          <w:bCs/>
          <w:sz w:val="22"/>
          <w:szCs w:val="22"/>
        </w:rPr>
      </w:pPr>
      <w:r w:rsidRPr="001B278E">
        <w:rPr>
          <w:b/>
          <w:bCs/>
          <w:sz w:val="22"/>
          <w:szCs w:val="22"/>
        </w:rPr>
        <w:t>District Funds</w:t>
      </w:r>
      <w:r w:rsidR="007433B1" w:rsidRPr="001B278E">
        <w:rPr>
          <w:b/>
          <w:bCs/>
          <w:sz w:val="22"/>
          <w:szCs w:val="22"/>
        </w:rPr>
        <w:t>:</w:t>
      </w:r>
    </w:p>
    <w:p w14:paraId="7BA23720" w14:textId="28EF3FAD" w:rsidR="007433B1" w:rsidRPr="007433B1" w:rsidRDefault="007433B1" w:rsidP="001B278E">
      <w:pPr>
        <w:tabs>
          <w:tab w:val="left" w:pos="5040"/>
        </w:tabs>
        <w:spacing w:before="120" w:after="0" w:line="240" w:lineRule="auto"/>
        <w:ind w:left="1166" w:hanging="1166"/>
        <w:contextualSpacing/>
        <w:rPr>
          <w:rFonts w:ascii="Aptos" w:hAnsi="Aptos" w:cs="Arial"/>
          <w:sz w:val="22"/>
          <w:szCs w:val="22"/>
        </w:rPr>
      </w:pPr>
      <w:bookmarkStart w:id="0" w:name="_Hlk144194862"/>
      <w:bookmarkStart w:id="1" w:name="_Hlk144965766"/>
      <w:r w:rsidRPr="007433B1">
        <w:rPr>
          <w:rFonts w:ascii="Aptos" w:hAnsi="Aptos" w:cs="Arial"/>
          <w:sz w:val="22"/>
          <w:szCs w:val="22"/>
        </w:rPr>
        <w:t>General Fund – Unrestricted</w:t>
      </w:r>
      <w:bookmarkEnd w:id="0"/>
      <w:r w:rsidRPr="007433B1">
        <w:rPr>
          <w:rFonts w:ascii="Aptos" w:hAnsi="Aptos" w:cs="Arial"/>
          <w:sz w:val="22"/>
          <w:szCs w:val="22"/>
        </w:rPr>
        <w:tab/>
        <w:t>Post-Employment Benefits Fund</w:t>
      </w:r>
    </w:p>
    <w:p w14:paraId="1929B60C" w14:textId="7D6A9980" w:rsidR="007433B1" w:rsidRPr="007433B1" w:rsidRDefault="007433B1" w:rsidP="00C13125">
      <w:pPr>
        <w:tabs>
          <w:tab w:val="left" w:pos="5040"/>
        </w:tabs>
        <w:spacing w:after="0" w:line="240" w:lineRule="auto"/>
        <w:ind w:left="1170" w:hanging="1170"/>
        <w:contextualSpacing/>
        <w:rPr>
          <w:rFonts w:ascii="Aptos" w:hAnsi="Aptos" w:cs="Arial"/>
          <w:sz w:val="22"/>
          <w:szCs w:val="22"/>
        </w:rPr>
      </w:pPr>
      <w:r w:rsidRPr="007433B1">
        <w:rPr>
          <w:rFonts w:ascii="Aptos" w:hAnsi="Aptos" w:cs="Arial"/>
          <w:sz w:val="22"/>
          <w:szCs w:val="22"/>
        </w:rPr>
        <w:t>General Fund - Restricted</w:t>
      </w:r>
      <w:r w:rsidRPr="007433B1">
        <w:rPr>
          <w:rFonts w:ascii="Aptos" w:hAnsi="Aptos" w:cs="Arial"/>
          <w:sz w:val="22"/>
          <w:szCs w:val="22"/>
        </w:rPr>
        <w:tab/>
        <w:t>Associated Students Trust Fund</w:t>
      </w:r>
    </w:p>
    <w:p w14:paraId="7039A1BB" w14:textId="0CC15FD5" w:rsidR="007433B1" w:rsidRPr="007433B1" w:rsidRDefault="007433B1" w:rsidP="00C13125">
      <w:pPr>
        <w:tabs>
          <w:tab w:val="left" w:pos="5040"/>
        </w:tabs>
        <w:spacing w:after="0" w:line="240" w:lineRule="auto"/>
        <w:ind w:left="1170" w:hanging="1170"/>
        <w:contextualSpacing/>
        <w:rPr>
          <w:rFonts w:ascii="Aptos" w:hAnsi="Aptos" w:cs="Arial"/>
          <w:sz w:val="22"/>
          <w:szCs w:val="22"/>
        </w:rPr>
      </w:pPr>
      <w:r w:rsidRPr="007433B1">
        <w:rPr>
          <w:rFonts w:ascii="Aptos" w:hAnsi="Aptos" w:cs="Arial"/>
          <w:sz w:val="22"/>
          <w:szCs w:val="22"/>
        </w:rPr>
        <w:t>Bond Interest and Redemption Fund</w:t>
      </w:r>
      <w:r w:rsidRPr="007433B1">
        <w:rPr>
          <w:rFonts w:ascii="Aptos" w:hAnsi="Aptos" w:cs="Arial"/>
          <w:sz w:val="22"/>
          <w:szCs w:val="22"/>
        </w:rPr>
        <w:tab/>
        <w:t>Student Representation Fee Trust Fund</w:t>
      </w:r>
    </w:p>
    <w:p w14:paraId="6DFE65B0" w14:textId="4188A356" w:rsidR="007433B1" w:rsidRPr="007433B1" w:rsidRDefault="007433B1" w:rsidP="00C13125">
      <w:pPr>
        <w:tabs>
          <w:tab w:val="left" w:pos="5040"/>
        </w:tabs>
        <w:spacing w:after="0" w:line="240" w:lineRule="auto"/>
        <w:ind w:left="1170" w:hanging="1170"/>
        <w:contextualSpacing/>
        <w:rPr>
          <w:rFonts w:ascii="Aptos" w:hAnsi="Aptos" w:cs="Arial"/>
          <w:sz w:val="22"/>
          <w:szCs w:val="22"/>
        </w:rPr>
      </w:pPr>
      <w:r w:rsidRPr="007433B1">
        <w:rPr>
          <w:rFonts w:ascii="Aptos" w:hAnsi="Aptos" w:cs="Arial"/>
          <w:sz w:val="22"/>
          <w:szCs w:val="22"/>
        </w:rPr>
        <w:t>Child Development Fund</w:t>
      </w:r>
      <w:r w:rsidRPr="007433B1">
        <w:rPr>
          <w:rFonts w:ascii="Aptos" w:hAnsi="Aptos" w:cs="Arial"/>
          <w:sz w:val="22"/>
          <w:szCs w:val="22"/>
        </w:rPr>
        <w:tab/>
        <w:t>Student Body Center Fee Trust Fund</w:t>
      </w:r>
      <w:r w:rsidRPr="007433B1">
        <w:rPr>
          <w:rFonts w:ascii="Aptos" w:hAnsi="Aptos" w:cs="Arial"/>
          <w:sz w:val="22"/>
          <w:szCs w:val="22"/>
        </w:rPr>
        <w:tab/>
      </w:r>
    </w:p>
    <w:p w14:paraId="538FFA5C" w14:textId="349E37C1" w:rsidR="007433B1" w:rsidRPr="007433B1" w:rsidRDefault="007433B1" w:rsidP="00C13125">
      <w:pPr>
        <w:tabs>
          <w:tab w:val="left" w:pos="5040"/>
        </w:tabs>
        <w:spacing w:after="0" w:line="240" w:lineRule="auto"/>
        <w:ind w:left="1170" w:hanging="1170"/>
        <w:contextualSpacing/>
        <w:rPr>
          <w:rFonts w:ascii="Aptos" w:hAnsi="Aptos" w:cs="Arial"/>
          <w:sz w:val="22"/>
          <w:szCs w:val="22"/>
        </w:rPr>
      </w:pPr>
      <w:r w:rsidRPr="007433B1">
        <w:rPr>
          <w:rFonts w:ascii="Aptos" w:hAnsi="Aptos" w:cs="Arial"/>
          <w:sz w:val="22"/>
          <w:szCs w:val="22"/>
        </w:rPr>
        <w:t>PCPA Fund</w:t>
      </w:r>
      <w:r w:rsidRPr="007433B1">
        <w:rPr>
          <w:rFonts w:ascii="Aptos" w:hAnsi="Aptos" w:cs="Arial"/>
          <w:sz w:val="22"/>
          <w:szCs w:val="22"/>
        </w:rPr>
        <w:tab/>
      </w:r>
      <w:r w:rsidRPr="007433B1">
        <w:rPr>
          <w:rFonts w:ascii="Aptos" w:hAnsi="Aptos" w:cs="Arial"/>
          <w:sz w:val="22"/>
          <w:szCs w:val="22"/>
        </w:rPr>
        <w:tab/>
        <w:t>Student Financial Aid Trust Fund</w:t>
      </w:r>
    </w:p>
    <w:p w14:paraId="55848B24" w14:textId="52427B67" w:rsidR="007433B1" w:rsidRPr="007433B1" w:rsidRDefault="007433B1" w:rsidP="00C13125">
      <w:pPr>
        <w:tabs>
          <w:tab w:val="left" w:pos="5040"/>
        </w:tabs>
        <w:spacing w:after="0" w:line="240" w:lineRule="auto"/>
        <w:ind w:left="1170" w:hanging="1170"/>
        <w:contextualSpacing/>
        <w:rPr>
          <w:rFonts w:ascii="Aptos" w:hAnsi="Aptos" w:cs="Arial"/>
          <w:sz w:val="22"/>
          <w:szCs w:val="22"/>
        </w:rPr>
      </w:pPr>
      <w:r w:rsidRPr="007433B1">
        <w:rPr>
          <w:rFonts w:ascii="Aptos" w:hAnsi="Aptos" w:cs="Arial"/>
          <w:sz w:val="22"/>
          <w:szCs w:val="22"/>
        </w:rPr>
        <w:t>Capital Outlay Projects Fund</w:t>
      </w:r>
      <w:r w:rsidRPr="007433B1">
        <w:rPr>
          <w:rFonts w:ascii="Aptos" w:hAnsi="Aptos" w:cs="Arial"/>
          <w:sz w:val="22"/>
          <w:szCs w:val="22"/>
        </w:rPr>
        <w:tab/>
        <w:t>Scholarship and Loan Trust Fund</w:t>
      </w:r>
    </w:p>
    <w:p w14:paraId="58DAB73F" w14:textId="1637D908" w:rsidR="007433B1" w:rsidRPr="007433B1" w:rsidRDefault="007433B1" w:rsidP="00C13125">
      <w:pPr>
        <w:tabs>
          <w:tab w:val="left" w:pos="5040"/>
        </w:tabs>
        <w:spacing w:after="0" w:line="240" w:lineRule="auto"/>
        <w:ind w:left="1170" w:hanging="1170"/>
        <w:contextualSpacing/>
        <w:rPr>
          <w:rFonts w:ascii="Aptos" w:hAnsi="Aptos" w:cs="Arial"/>
          <w:sz w:val="22"/>
          <w:szCs w:val="22"/>
        </w:rPr>
      </w:pPr>
      <w:r w:rsidRPr="007433B1">
        <w:rPr>
          <w:rFonts w:ascii="Aptos" w:hAnsi="Aptos" w:cs="Arial"/>
          <w:sz w:val="22"/>
          <w:szCs w:val="22"/>
        </w:rPr>
        <w:t>General Obligation Bond Building Fund</w:t>
      </w:r>
      <w:r w:rsidRPr="007433B1">
        <w:rPr>
          <w:rFonts w:ascii="Aptos" w:hAnsi="Aptos" w:cs="Arial"/>
          <w:sz w:val="22"/>
          <w:szCs w:val="22"/>
        </w:rPr>
        <w:tab/>
        <w:t>District Trust Fund</w:t>
      </w:r>
    </w:p>
    <w:p w14:paraId="59B4DD8D" w14:textId="15E4130C" w:rsidR="007433B1" w:rsidRPr="007433B1" w:rsidRDefault="007433B1" w:rsidP="00C13125">
      <w:pPr>
        <w:tabs>
          <w:tab w:val="left" w:pos="5040"/>
        </w:tabs>
        <w:spacing w:after="0" w:line="240" w:lineRule="auto"/>
        <w:ind w:left="1170" w:hanging="1170"/>
        <w:contextualSpacing/>
        <w:rPr>
          <w:rFonts w:ascii="Aptos" w:hAnsi="Aptos" w:cs="Arial"/>
          <w:sz w:val="22"/>
          <w:szCs w:val="22"/>
        </w:rPr>
      </w:pPr>
      <w:bookmarkStart w:id="2" w:name="_Hlk207289055"/>
      <w:r w:rsidRPr="007433B1">
        <w:rPr>
          <w:rFonts w:ascii="Aptos" w:hAnsi="Aptos" w:cs="Arial"/>
          <w:sz w:val="22"/>
          <w:szCs w:val="22"/>
        </w:rPr>
        <w:t>Dental Self-Insurance Fund</w:t>
      </w:r>
      <w:bookmarkEnd w:id="2"/>
      <w:r w:rsidRPr="007433B1">
        <w:rPr>
          <w:rFonts w:ascii="Aptos" w:hAnsi="Aptos" w:cs="Arial"/>
          <w:sz w:val="22"/>
          <w:szCs w:val="22"/>
        </w:rPr>
        <w:tab/>
        <w:t>Student Clubs Agency Fund</w:t>
      </w:r>
    </w:p>
    <w:p w14:paraId="0AA4591F" w14:textId="597B4257" w:rsidR="007433B1" w:rsidRPr="007433B1" w:rsidRDefault="007433B1" w:rsidP="00C13125">
      <w:pPr>
        <w:tabs>
          <w:tab w:val="left" w:pos="5040"/>
        </w:tabs>
        <w:spacing w:after="0" w:line="240" w:lineRule="auto"/>
        <w:ind w:left="1170" w:hanging="1170"/>
        <w:contextualSpacing/>
        <w:rPr>
          <w:rFonts w:ascii="Aptos" w:hAnsi="Aptos" w:cs="Arial"/>
          <w:sz w:val="22"/>
          <w:szCs w:val="22"/>
        </w:rPr>
      </w:pPr>
      <w:r w:rsidRPr="007433B1">
        <w:rPr>
          <w:rFonts w:ascii="Aptos" w:hAnsi="Aptos" w:cs="Arial"/>
          <w:sz w:val="22"/>
          <w:szCs w:val="22"/>
        </w:rPr>
        <w:t>Property and Liability Self-Insurance Fund</w:t>
      </w:r>
      <w:r w:rsidRPr="007433B1">
        <w:rPr>
          <w:rFonts w:ascii="Aptos" w:hAnsi="Aptos" w:cs="Arial"/>
          <w:sz w:val="22"/>
          <w:szCs w:val="22"/>
        </w:rPr>
        <w:tab/>
        <w:t>Foundation Agency Fund</w:t>
      </w:r>
    </w:p>
    <w:p w14:paraId="1A4808B7" w14:textId="7F5D843F" w:rsidR="007433B1" w:rsidRPr="00F67717" w:rsidRDefault="007433B1" w:rsidP="00F67717">
      <w:pPr>
        <w:tabs>
          <w:tab w:val="left" w:pos="5040"/>
        </w:tabs>
        <w:spacing w:after="0" w:line="240" w:lineRule="auto"/>
        <w:ind w:left="1170" w:hanging="1170"/>
        <w:contextualSpacing/>
        <w:rPr>
          <w:rFonts w:ascii="Aptos" w:hAnsi="Aptos" w:cs="Arial"/>
          <w:sz w:val="22"/>
          <w:szCs w:val="22"/>
        </w:rPr>
      </w:pPr>
      <w:r w:rsidRPr="007433B1">
        <w:rPr>
          <w:rFonts w:ascii="Aptos" w:hAnsi="Aptos" w:cs="Arial"/>
          <w:sz w:val="22"/>
          <w:szCs w:val="22"/>
        </w:rPr>
        <w:t>Medical Self-Insurance Fund</w:t>
      </w:r>
      <w:r w:rsidRPr="007433B1">
        <w:rPr>
          <w:rFonts w:ascii="Aptos" w:hAnsi="Aptos" w:cs="Arial"/>
          <w:sz w:val="22"/>
          <w:szCs w:val="22"/>
        </w:rPr>
        <w:tab/>
        <w:t xml:space="preserve">AHC Viticulture &amp; Enology Foundation </w:t>
      </w:r>
      <w:bookmarkEnd w:id="1"/>
    </w:p>
    <w:p w14:paraId="588318E4" w14:textId="4393F71B" w:rsidR="007433B1" w:rsidRPr="001B278E" w:rsidRDefault="007433B1" w:rsidP="001B278E">
      <w:pPr>
        <w:pBdr>
          <w:bottom w:val="single" w:sz="4" w:space="1" w:color="auto"/>
        </w:pBdr>
        <w:spacing w:before="240" w:after="120" w:line="259" w:lineRule="auto"/>
        <w:ind w:right="5040"/>
        <w:rPr>
          <w:b/>
          <w:bCs/>
          <w:sz w:val="22"/>
          <w:szCs w:val="22"/>
        </w:rPr>
      </w:pPr>
      <w:r w:rsidRPr="001B278E">
        <w:rPr>
          <w:b/>
          <w:bCs/>
          <w:sz w:val="22"/>
          <w:szCs w:val="22"/>
        </w:rPr>
        <w:t>G</w:t>
      </w:r>
      <w:r w:rsidR="001B278E">
        <w:rPr>
          <w:b/>
          <w:bCs/>
          <w:sz w:val="22"/>
          <w:szCs w:val="22"/>
        </w:rPr>
        <w:t>eneral Fund</w:t>
      </w:r>
      <w:r w:rsidR="00F67717">
        <w:rPr>
          <w:b/>
          <w:bCs/>
          <w:sz w:val="22"/>
          <w:szCs w:val="22"/>
        </w:rPr>
        <w:t xml:space="preserve"> - Unrestricted</w:t>
      </w:r>
      <w:r w:rsidRPr="001B278E">
        <w:rPr>
          <w:b/>
          <w:bCs/>
          <w:sz w:val="22"/>
          <w:szCs w:val="22"/>
        </w:rPr>
        <w:t xml:space="preserve"> (Fund 11)</w:t>
      </w:r>
    </w:p>
    <w:p w14:paraId="385EB673" w14:textId="77777777" w:rsidR="007433B1" w:rsidRPr="007433B1" w:rsidRDefault="007433B1" w:rsidP="007433B1">
      <w:pPr>
        <w:spacing w:after="0" w:line="240" w:lineRule="auto"/>
        <w:rPr>
          <w:rFonts w:ascii="Aptos" w:eastAsia="Times New Roman" w:hAnsi="Aptos" w:cs="Arial"/>
          <w:sz w:val="22"/>
          <w:szCs w:val="22"/>
        </w:rPr>
      </w:pPr>
      <w:r w:rsidRPr="007433B1">
        <w:rPr>
          <w:rFonts w:ascii="Aptos" w:hAnsi="Aptos" w:cs="Arial"/>
          <w:sz w:val="22"/>
          <w:szCs w:val="22"/>
        </w:rPr>
        <w:t xml:space="preserve">The fiscal year 2025-26 budget is presented in the table below and includes the use of reserve funds to balance. </w:t>
      </w:r>
      <w:r w:rsidRPr="007433B1">
        <w:rPr>
          <w:rFonts w:ascii="Aptos" w:hAnsi="Aptos" w:cs="Arial"/>
          <w:color w:val="212529"/>
          <w:sz w:val="22"/>
          <w:szCs w:val="22"/>
          <w:shd w:val="clear" w:color="auto" w:fill="FFFFFF"/>
        </w:rPr>
        <w:t>Most budgeted revenue comes from state apportionment</w:t>
      </w:r>
      <w:r w:rsidRPr="007433B1">
        <w:rPr>
          <w:rFonts w:ascii="Aptos" w:eastAsia="Times New Roman" w:hAnsi="Aptos" w:cs="Arial"/>
          <w:sz w:val="22"/>
          <w:szCs w:val="22"/>
        </w:rPr>
        <w:t xml:space="preserve">. </w:t>
      </w:r>
    </w:p>
    <w:p w14:paraId="248A2887" w14:textId="77777777" w:rsidR="007433B1" w:rsidRPr="007433B1" w:rsidRDefault="007433B1" w:rsidP="007433B1">
      <w:pPr>
        <w:spacing w:after="0" w:line="240" w:lineRule="auto"/>
        <w:rPr>
          <w:rFonts w:ascii="Aptos" w:eastAsia="Times New Roman" w:hAnsi="Aptos" w:cs="Arial"/>
          <w:sz w:val="22"/>
          <w:szCs w:val="22"/>
        </w:rPr>
      </w:pPr>
    </w:p>
    <w:tbl>
      <w:tblPr>
        <w:tblW w:w="6218" w:type="dxa"/>
        <w:jc w:val="center"/>
        <w:tblLook w:val="04A0" w:firstRow="1" w:lastRow="0" w:firstColumn="1" w:lastColumn="0" w:noHBand="0" w:noVBand="1"/>
      </w:tblPr>
      <w:tblGrid>
        <w:gridCol w:w="2320"/>
        <w:gridCol w:w="1820"/>
        <w:gridCol w:w="258"/>
        <w:gridCol w:w="1820"/>
      </w:tblGrid>
      <w:tr w:rsidR="007433B1" w:rsidRPr="00F67717" w14:paraId="077B1821" w14:textId="77777777" w:rsidTr="00A256C9">
        <w:trPr>
          <w:trHeight w:val="600"/>
          <w:jc w:val="center"/>
        </w:trPr>
        <w:tc>
          <w:tcPr>
            <w:tcW w:w="2320" w:type="dxa"/>
            <w:tcBorders>
              <w:top w:val="single" w:sz="8" w:space="0" w:color="auto"/>
              <w:left w:val="single" w:sz="8" w:space="0" w:color="auto"/>
              <w:bottom w:val="single" w:sz="4" w:space="0" w:color="auto"/>
              <w:right w:val="nil"/>
            </w:tcBorders>
            <w:shd w:val="clear" w:color="000000" w:fill="D0D0D0"/>
            <w:vAlign w:val="bottom"/>
            <w:hideMark/>
          </w:tcPr>
          <w:p w14:paraId="63419935" w14:textId="77777777" w:rsidR="007433B1" w:rsidRPr="00F67717" w:rsidRDefault="007433B1" w:rsidP="00A256C9">
            <w:pPr>
              <w:spacing w:after="0" w:line="240" w:lineRule="auto"/>
              <w:rPr>
                <w:rFonts w:ascii="Aptos" w:eastAsia="Times New Roman" w:hAnsi="Aptos"/>
                <w:color w:val="000000"/>
                <w:sz w:val="20"/>
                <w:szCs w:val="20"/>
              </w:rPr>
            </w:pPr>
            <w:r w:rsidRPr="00F67717">
              <w:rPr>
                <w:rFonts w:ascii="Aptos" w:eastAsia="Times New Roman" w:hAnsi="Aptos"/>
                <w:color w:val="000000"/>
                <w:sz w:val="20"/>
                <w:szCs w:val="20"/>
              </w:rPr>
              <w:t> </w:t>
            </w:r>
          </w:p>
        </w:tc>
        <w:tc>
          <w:tcPr>
            <w:tcW w:w="1820" w:type="dxa"/>
            <w:tcBorders>
              <w:top w:val="single" w:sz="8" w:space="0" w:color="auto"/>
              <w:left w:val="nil"/>
              <w:bottom w:val="single" w:sz="4" w:space="0" w:color="auto"/>
              <w:right w:val="nil"/>
            </w:tcBorders>
            <w:shd w:val="clear" w:color="000000" w:fill="D0D0D0"/>
            <w:vAlign w:val="bottom"/>
            <w:hideMark/>
          </w:tcPr>
          <w:p w14:paraId="669F821C" w14:textId="77777777" w:rsidR="007433B1" w:rsidRPr="00F67717" w:rsidRDefault="007433B1" w:rsidP="00A256C9">
            <w:pPr>
              <w:spacing w:after="0" w:line="240" w:lineRule="auto"/>
              <w:jc w:val="center"/>
              <w:rPr>
                <w:rFonts w:ascii="Aptos" w:eastAsia="Times New Roman" w:hAnsi="Aptos"/>
                <w:b/>
                <w:bCs/>
                <w:color w:val="000000"/>
                <w:sz w:val="20"/>
                <w:szCs w:val="20"/>
              </w:rPr>
            </w:pPr>
            <w:r w:rsidRPr="00F67717">
              <w:rPr>
                <w:rFonts w:ascii="Aptos" w:eastAsia="Times New Roman" w:hAnsi="Aptos"/>
                <w:b/>
                <w:bCs/>
                <w:color w:val="000000"/>
                <w:sz w:val="20"/>
                <w:szCs w:val="20"/>
              </w:rPr>
              <w:t>FY24-25 Actual (unaudited)</w:t>
            </w:r>
          </w:p>
        </w:tc>
        <w:tc>
          <w:tcPr>
            <w:tcW w:w="258" w:type="dxa"/>
            <w:tcBorders>
              <w:top w:val="single" w:sz="8" w:space="0" w:color="auto"/>
              <w:left w:val="nil"/>
              <w:bottom w:val="single" w:sz="4" w:space="0" w:color="auto"/>
              <w:right w:val="nil"/>
            </w:tcBorders>
            <w:shd w:val="clear" w:color="000000" w:fill="D0D0D0"/>
            <w:vAlign w:val="bottom"/>
            <w:hideMark/>
          </w:tcPr>
          <w:p w14:paraId="104F4FAE" w14:textId="77777777" w:rsidR="007433B1" w:rsidRPr="00F67717" w:rsidRDefault="007433B1" w:rsidP="00A256C9">
            <w:pPr>
              <w:spacing w:after="0" w:line="240" w:lineRule="auto"/>
              <w:jc w:val="center"/>
              <w:rPr>
                <w:rFonts w:ascii="Aptos" w:eastAsia="Times New Roman" w:hAnsi="Aptos"/>
                <w:b/>
                <w:bCs/>
                <w:color w:val="000000"/>
                <w:sz w:val="20"/>
                <w:szCs w:val="20"/>
              </w:rPr>
            </w:pPr>
            <w:r w:rsidRPr="00F67717">
              <w:rPr>
                <w:rFonts w:ascii="Aptos" w:eastAsia="Times New Roman" w:hAnsi="Aptos"/>
                <w:b/>
                <w:bCs/>
                <w:color w:val="000000"/>
                <w:sz w:val="20"/>
                <w:szCs w:val="20"/>
              </w:rPr>
              <w:t> </w:t>
            </w:r>
          </w:p>
        </w:tc>
        <w:tc>
          <w:tcPr>
            <w:tcW w:w="1820" w:type="dxa"/>
            <w:tcBorders>
              <w:top w:val="single" w:sz="8" w:space="0" w:color="auto"/>
              <w:left w:val="nil"/>
              <w:bottom w:val="single" w:sz="4" w:space="0" w:color="auto"/>
              <w:right w:val="single" w:sz="8" w:space="0" w:color="auto"/>
            </w:tcBorders>
            <w:shd w:val="clear" w:color="000000" w:fill="D0D0D0"/>
            <w:vAlign w:val="bottom"/>
            <w:hideMark/>
          </w:tcPr>
          <w:p w14:paraId="4DB08214" w14:textId="77777777" w:rsidR="007433B1" w:rsidRPr="00F67717" w:rsidRDefault="007433B1" w:rsidP="00A256C9">
            <w:pPr>
              <w:spacing w:after="0" w:line="240" w:lineRule="auto"/>
              <w:jc w:val="center"/>
              <w:rPr>
                <w:rFonts w:ascii="Aptos" w:eastAsia="Times New Roman" w:hAnsi="Aptos"/>
                <w:b/>
                <w:bCs/>
                <w:color w:val="000000"/>
                <w:sz w:val="20"/>
                <w:szCs w:val="20"/>
              </w:rPr>
            </w:pPr>
            <w:r w:rsidRPr="00F67717">
              <w:rPr>
                <w:rFonts w:ascii="Aptos" w:eastAsia="Times New Roman" w:hAnsi="Aptos"/>
                <w:b/>
                <w:bCs/>
                <w:color w:val="000000"/>
                <w:sz w:val="20"/>
                <w:szCs w:val="20"/>
              </w:rPr>
              <w:t>FY25-26 Proposed Budget</w:t>
            </w:r>
          </w:p>
        </w:tc>
      </w:tr>
      <w:tr w:rsidR="007433B1" w:rsidRPr="00F67717" w14:paraId="7671FBBB" w14:textId="77777777" w:rsidTr="00A256C9">
        <w:trPr>
          <w:trHeight w:val="600"/>
          <w:jc w:val="center"/>
        </w:trPr>
        <w:tc>
          <w:tcPr>
            <w:tcW w:w="2320" w:type="dxa"/>
            <w:tcBorders>
              <w:top w:val="nil"/>
              <w:left w:val="single" w:sz="8" w:space="0" w:color="auto"/>
              <w:bottom w:val="nil"/>
              <w:right w:val="nil"/>
            </w:tcBorders>
            <w:vAlign w:val="bottom"/>
            <w:hideMark/>
          </w:tcPr>
          <w:p w14:paraId="18595BD1" w14:textId="77777777" w:rsidR="007433B1" w:rsidRPr="00F67717" w:rsidRDefault="007433B1" w:rsidP="00A256C9">
            <w:pPr>
              <w:spacing w:after="0" w:line="240" w:lineRule="auto"/>
              <w:rPr>
                <w:rFonts w:ascii="Aptos" w:eastAsia="Times New Roman" w:hAnsi="Aptos"/>
                <w:color w:val="000000"/>
                <w:sz w:val="20"/>
                <w:szCs w:val="20"/>
              </w:rPr>
            </w:pPr>
            <w:r w:rsidRPr="00F67717">
              <w:rPr>
                <w:rFonts w:ascii="Aptos" w:eastAsia="Times New Roman" w:hAnsi="Aptos"/>
                <w:color w:val="000000"/>
                <w:sz w:val="20"/>
                <w:szCs w:val="20"/>
              </w:rPr>
              <w:t>Beginning Fund Balance</w:t>
            </w:r>
          </w:p>
        </w:tc>
        <w:tc>
          <w:tcPr>
            <w:tcW w:w="1820" w:type="dxa"/>
            <w:tcBorders>
              <w:top w:val="nil"/>
              <w:left w:val="nil"/>
              <w:bottom w:val="nil"/>
              <w:right w:val="nil"/>
            </w:tcBorders>
            <w:noWrap/>
            <w:vAlign w:val="bottom"/>
            <w:hideMark/>
          </w:tcPr>
          <w:p w14:paraId="372432C0" w14:textId="77777777" w:rsidR="007433B1" w:rsidRPr="00F67717" w:rsidRDefault="007433B1" w:rsidP="00A256C9">
            <w:pPr>
              <w:spacing w:after="0" w:line="240" w:lineRule="auto"/>
              <w:jc w:val="right"/>
              <w:rPr>
                <w:rFonts w:ascii="Aptos" w:eastAsia="Times New Roman" w:hAnsi="Aptos"/>
                <w:color w:val="000000"/>
                <w:sz w:val="20"/>
                <w:szCs w:val="20"/>
              </w:rPr>
            </w:pPr>
            <w:r w:rsidRPr="00F67717">
              <w:rPr>
                <w:rFonts w:ascii="Aptos" w:eastAsia="Times New Roman" w:hAnsi="Aptos"/>
                <w:color w:val="000000"/>
                <w:sz w:val="20"/>
                <w:szCs w:val="20"/>
              </w:rPr>
              <w:t>$32,078,920</w:t>
            </w:r>
          </w:p>
        </w:tc>
        <w:tc>
          <w:tcPr>
            <w:tcW w:w="258" w:type="dxa"/>
            <w:tcBorders>
              <w:top w:val="nil"/>
              <w:left w:val="nil"/>
              <w:bottom w:val="nil"/>
              <w:right w:val="nil"/>
            </w:tcBorders>
            <w:noWrap/>
            <w:vAlign w:val="bottom"/>
            <w:hideMark/>
          </w:tcPr>
          <w:p w14:paraId="02BBB0B8" w14:textId="77777777" w:rsidR="007433B1" w:rsidRPr="00F67717" w:rsidRDefault="007433B1" w:rsidP="00A256C9">
            <w:pPr>
              <w:spacing w:after="0" w:line="240" w:lineRule="auto"/>
              <w:jc w:val="right"/>
              <w:rPr>
                <w:rFonts w:ascii="Aptos" w:eastAsia="Times New Roman" w:hAnsi="Aptos"/>
                <w:color w:val="000000"/>
                <w:sz w:val="20"/>
                <w:szCs w:val="20"/>
              </w:rPr>
            </w:pPr>
          </w:p>
        </w:tc>
        <w:tc>
          <w:tcPr>
            <w:tcW w:w="1820" w:type="dxa"/>
            <w:tcBorders>
              <w:top w:val="nil"/>
              <w:left w:val="nil"/>
              <w:bottom w:val="nil"/>
              <w:right w:val="single" w:sz="8" w:space="0" w:color="auto"/>
            </w:tcBorders>
            <w:noWrap/>
            <w:vAlign w:val="bottom"/>
            <w:hideMark/>
          </w:tcPr>
          <w:p w14:paraId="75772276" w14:textId="77777777" w:rsidR="007433B1" w:rsidRPr="00F67717" w:rsidRDefault="007433B1" w:rsidP="00A256C9">
            <w:pPr>
              <w:spacing w:after="0" w:line="240" w:lineRule="auto"/>
              <w:jc w:val="right"/>
              <w:rPr>
                <w:rFonts w:ascii="Aptos" w:eastAsia="Times New Roman" w:hAnsi="Aptos"/>
                <w:color w:val="000000"/>
                <w:sz w:val="20"/>
                <w:szCs w:val="20"/>
              </w:rPr>
            </w:pPr>
            <w:r w:rsidRPr="00F67717">
              <w:rPr>
                <w:rFonts w:ascii="Aptos" w:eastAsia="Times New Roman" w:hAnsi="Aptos"/>
                <w:color w:val="000000"/>
                <w:sz w:val="20"/>
                <w:szCs w:val="20"/>
              </w:rPr>
              <w:t>$35,076,705</w:t>
            </w:r>
          </w:p>
        </w:tc>
      </w:tr>
      <w:tr w:rsidR="007433B1" w:rsidRPr="00F67717" w14:paraId="1EED638D" w14:textId="77777777" w:rsidTr="00A256C9">
        <w:trPr>
          <w:trHeight w:val="300"/>
          <w:jc w:val="center"/>
        </w:trPr>
        <w:tc>
          <w:tcPr>
            <w:tcW w:w="2320" w:type="dxa"/>
            <w:tcBorders>
              <w:top w:val="nil"/>
              <w:left w:val="single" w:sz="8" w:space="0" w:color="auto"/>
              <w:bottom w:val="nil"/>
              <w:right w:val="nil"/>
            </w:tcBorders>
            <w:noWrap/>
            <w:vAlign w:val="bottom"/>
            <w:hideMark/>
          </w:tcPr>
          <w:p w14:paraId="0DD3373D" w14:textId="77777777" w:rsidR="007433B1" w:rsidRPr="00F67717" w:rsidRDefault="007433B1" w:rsidP="00A256C9">
            <w:pPr>
              <w:spacing w:after="0" w:line="240" w:lineRule="auto"/>
              <w:rPr>
                <w:rFonts w:ascii="Aptos" w:eastAsia="Times New Roman" w:hAnsi="Aptos"/>
                <w:color w:val="000000"/>
                <w:sz w:val="20"/>
                <w:szCs w:val="20"/>
              </w:rPr>
            </w:pPr>
            <w:r w:rsidRPr="00F67717">
              <w:rPr>
                <w:rFonts w:ascii="Aptos" w:eastAsia="Times New Roman" w:hAnsi="Aptos"/>
                <w:color w:val="000000"/>
                <w:sz w:val="20"/>
                <w:szCs w:val="20"/>
              </w:rPr>
              <w:t>Revenue</w:t>
            </w:r>
          </w:p>
        </w:tc>
        <w:tc>
          <w:tcPr>
            <w:tcW w:w="1820" w:type="dxa"/>
            <w:tcBorders>
              <w:top w:val="nil"/>
              <w:left w:val="nil"/>
              <w:bottom w:val="nil"/>
              <w:right w:val="nil"/>
            </w:tcBorders>
            <w:noWrap/>
            <w:vAlign w:val="bottom"/>
            <w:hideMark/>
          </w:tcPr>
          <w:p w14:paraId="7AFACDD6" w14:textId="77777777" w:rsidR="007433B1" w:rsidRPr="00F67717" w:rsidRDefault="007433B1" w:rsidP="00A256C9">
            <w:pPr>
              <w:spacing w:after="0" w:line="240" w:lineRule="auto"/>
              <w:jc w:val="right"/>
              <w:rPr>
                <w:rFonts w:ascii="Aptos" w:eastAsia="Times New Roman" w:hAnsi="Aptos"/>
                <w:color w:val="000000"/>
                <w:sz w:val="20"/>
                <w:szCs w:val="20"/>
              </w:rPr>
            </w:pPr>
            <w:r w:rsidRPr="00F67717">
              <w:rPr>
                <w:rFonts w:ascii="Aptos" w:eastAsia="Times New Roman" w:hAnsi="Aptos"/>
                <w:color w:val="000000"/>
                <w:sz w:val="20"/>
                <w:szCs w:val="20"/>
              </w:rPr>
              <w:t>$92,368,745</w:t>
            </w:r>
          </w:p>
        </w:tc>
        <w:tc>
          <w:tcPr>
            <w:tcW w:w="258" w:type="dxa"/>
            <w:tcBorders>
              <w:top w:val="nil"/>
              <w:left w:val="nil"/>
              <w:bottom w:val="nil"/>
              <w:right w:val="nil"/>
            </w:tcBorders>
            <w:noWrap/>
            <w:vAlign w:val="bottom"/>
            <w:hideMark/>
          </w:tcPr>
          <w:p w14:paraId="02B7912B" w14:textId="77777777" w:rsidR="007433B1" w:rsidRPr="00F67717" w:rsidRDefault="007433B1" w:rsidP="00A256C9">
            <w:pPr>
              <w:spacing w:after="0" w:line="240" w:lineRule="auto"/>
              <w:jc w:val="right"/>
              <w:rPr>
                <w:rFonts w:ascii="Aptos" w:eastAsia="Times New Roman" w:hAnsi="Aptos"/>
                <w:color w:val="000000"/>
                <w:sz w:val="20"/>
                <w:szCs w:val="20"/>
              </w:rPr>
            </w:pPr>
          </w:p>
        </w:tc>
        <w:tc>
          <w:tcPr>
            <w:tcW w:w="1820" w:type="dxa"/>
            <w:tcBorders>
              <w:top w:val="nil"/>
              <w:left w:val="nil"/>
              <w:bottom w:val="nil"/>
              <w:right w:val="single" w:sz="8" w:space="0" w:color="auto"/>
            </w:tcBorders>
            <w:noWrap/>
            <w:vAlign w:val="bottom"/>
            <w:hideMark/>
          </w:tcPr>
          <w:p w14:paraId="5748CD00" w14:textId="77777777" w:rsidR="007433B1" w:rsidRPr="00F67717" w:rsidRDefault="007433B1" w:rsidP="00A256C9">
            <w:pPr>
              <w:spacing w:after="0" w:line="240" w:lineRule="auto"/>
              <w:jc w:val="right"/>
              <w:rPr>
                <w:rFonts w:ascii="Aptos" w:eastAsia="Times New Roman" w:hAnsi="Aptos"/>
                <w:color w:val="000000"/>
                <w:sz w:val="20"/>
                <w:szCs w:val="20"/>
              </w:rPr>
            </w:pPr>
            <w:r w:rsidRPr="00F67717">
              <w:rPr>
                <w:rFonts w:ascii="Aptos" w:eastAsia="Times New Roman" w:hAnsi="Aptos"/>
                <w:color w:val="000000"/>
                <w:sz w:val="20"/>
                <w:szCs w:val="20"/>
              </w:rPr>
              <w:t>$89,502,434</w:t>
            </w:r>
          </w:p>
        </w:tc>
      </w:tr>
      <w:tr w:rsidR="007433B1" w:rsidRPr="00F67717" w14:paraId="31001877" w14:textId="77777777" w:rsidTr="00A256C9">
        <w:trPr>
          <w:trHeight w:val="345"/>
          <w:jc w:val="center"/>
        </w:trPr>
        <w:tc>
          <w:tcPr>
            <w:tcW w:w="2320" w:type="dxa"/>
            <w:tcBorders>
              <w:top w:val="nil"/>
              <w:left w:val="single" w:sz="8" w:space="0" w:color="auto"/>
              <w:bottom w:val="nil"/>
              <w:right w:val="nil"/>
            </w:tcBorders>
            <w:noWrap/>
            <w:vAlign w:val="bottom"/>
            <w:hideMark/>
          </w:tcPr>
          <w:p w14:paraId="1410EDF2" w14:textId="77777777" w:rsidR="007433B1" w:rsidRPr="00F67717" w:rsidRDefault="007433B1" w:rsidP="00A256C9">
            <w:pPr>
              <w:spacing w:after="0" w:line="240" w:lineRule="auto"/>
              <w:rPr>
                <w:rFonts w:ascii="Aptos" w:eastAsia="Times New Roman" w:hAnsi="Aptos"/>
                <w:color w:val="000000"/>
                <w:sz w:val="20"/>
                <w:szCs w:val="20"/>
              </w:rPr>
            </w:pPr>
            <w:r w:rsidRPr="00F67717">
              <w:rPr>
                <w:rFonts w:ascii="Aptos" w:eastAsia="Times New Roman" w:hAnsi="Aptos"/>
                <w:color w:val="000000"/>
                <w:sz w:val="20"/>
                <w:szCs w:val="20"/>
              </w:rPr>
              <w:t>Deficit Factor</w:t>
            </w:r>
          </w:p>
        </w:tc>
        <w:tc>
          <w:tcPr>
            <w:tcW w:w="1820" w:type="dxa"/>
            <w:tcBorders>
              <w:top w:val="nil"/>
              <w:left w:val="nil"/>
              <w:bottom w:val="nil"/>
              <w:right w:val="nil"/>
            </w:tcBorders>
            <w:noWrap/>
            <w:vAlign w:val="bottom"/>
            <w:hideMark/>
          </w:tcPr>
          <w:p w14:paraId="68850898" w14:textId="77777777" w:rsidR="007433B1" w:rsidRPr="00F67717" w:rsidRDefault="007433B1" w:rsidP="00A256C9">
            <w:pPr>
              <w:spacing w:after="0" w:line="240" w:lineRule="auto"/>
              <w:jc w:val="right"/>
              <w:rPr>
                <w:rFonts w:ascii="Aptos" w:eastAsia="Times New Roman" w:hAnsi="Aptos"/>
                <w:color w:val="000000"/>
                <w:sz w:val="20"/>
                <w:szCs w:val="20"/>
                <w:u w:val="single"/>
              </w:rPr>
            </w:pPr>
            <w:r w:rsidRPr="00F67717">
              <w:rPr>
                <w:rFonts w:ascii="Aptos" w:eastAsia="Times New Roman" w:hAnsi="Aptos"/>
                <w:color w:val="000000"/>
                <w:sz w:val="20"/>
                <w:szCs w:val="20"/>
                <w:u w:val="single"/>
              </w:rPr>
              <w:t xml:space="preserve">0 </w:t>
            </w:r>
          </w:p>
        </w:tc>
        <w:tc>
          <w:tcPr>
            <w:tcW w:w="258" w:type="dxa"/>
            <w:tcBorders>
              <w:top w:val="nil"/>
              <w:left w:val="nil"/>
              <w:bottom w:val="nil"/>
              <w:right w:val="nil"/>
            </w:tcBorders>
            <w:noWrap/>
            <w:vAlign w:val="bottom"/>
            <w:hideMark/>
          </w:tcPr>
          <w:p w14:paraId="52A7AB73" w14:textId="77777777" w:rsidR="007433B1" w:rsidRPr="00F67717" w:rsidRDefault="007433B1" w:rsidP="00A256C9">
            <w:pPr>
              <w:spacing w:after="0" w:line="240" w:lineRule="auto"/>
              <w:jc w:val="right"/>
              <w:rPr>
                <w:rFonts w:ascii="Aptos" w:eastAsia="Times New Roman" w:hAnsi="Aptos"/>
                <w:color w:val="000000"/>
                <w:sz w:val="20"/>
                <w:szCs w:val="20"/>
                <w:u w:val="single"/>
              </w:rPr>
            </w:pPr>
          </w:p>
        </w:tc>
        <w:tc>
          <w:tcPr>
            <w:tcW w:w="1820" w:type="dxa"/>
            <w:tcBorders>
              <w:top w:val="nil"/>
              <w:left w:val="nil"/>
              <w:bottom w:val="nil"/>
              <w:right w:val="single" w:sz="8" w:space="0" w:color="auto"/>
            </w:tcBorders>
            <w:noWrap/>
            <w:vAlign w:val="bottom"/>
            <w:hideMark/>
          </w:tcPr>
          <w:p w14:paraId="05693AC4" w14:textId="77777777" w:rsidR="007433B1" w:rsidRPr="00F67717" w:rsidRDefault="007433B1" w:rsidP="00A256C9">
            <w:pPr>
              <w:spacing w:after="0" w:line="240" w:lineRule="auto"/>
              <w:jc w:val="right"/>
              <w:rPr>
                <w:rFonts w:ascii="Aptos" w:eastAsia="Times New Roman" w:hAnsi="Aptos"/>
                <w:color w:val="000000"/>
                <w:sz w:val="20"/>
                <w:szCs w:val="20"/>
                <w:u w:val="single"/>
              </w:rPr>
            </w:pPr>
            <w:r w:rsidRPr="00F67717">
              <w:rPr>
                <w:rFonts w:ascii="Aptos" w:eastAsia="Times New Roman" w:hAnsi="Aptos"/>
                <w:color w:val="000000"/>
                <w:sz w:val="20"/>
                <w:szCs w:val="20"/>
                <w:u w:val="single"/>
              </w:rPr>
              <w:t xml:space="preserve">1,201,993 </w:t>
            </w:r>
          </w:p>
        </w:tc>
      </w:tr>
      <w:tr w:rsidR="007433B1" w:rsidRPr="00F67717" w14:paraId="3524CBFE" w14:textId="77777777" w:rsidTr="00A256C9">
        <w:trPr>
          <w:trHeight w:val="300"/>
          <w:jc w:val="center"/>
        </w:trPr>
        <w:tc>
          <w:tcPr>
            <w:tcW w:w="2320" w:type="dxa"/>
            <w:tcBorders>
              <w:top w:val="nil"/>
              <w:left w:val="single" w:sz="8" w:space="0" w:color="auto"/>
              <w:bottom w:val="nil"/>
              <w:right w:val="nil"/>
            </w:tcBorders>
            <w:noWrap/>
            <w:vAlign w:val="bottom"/>
            <w:hideMark/>
          </w:tcPr>
          <w:p w14:paraId="6BB76DF6" w14:textId="77777777" w:rsidR="007433B1" w:rsidRPr="00F67717" w:rsidRDefault="007433B1" w:rsidP="00A256C9">
            <w:pPr>
              <w:spacing w:after="0" w:line="240" w:lineRule="auto"/>
              <w:jc w:val="center"/>
              <w:rPr>
                <w:rFonts w:ascii="Aptos" w:eastAsia="Times New Roman" w:hAnsi="Aptos"/>
                <w:color w:val="000000"/>
                <w:sz w:val="20"/>
                <w:szCs w:val="20"/>
              </w:rPr>
            </w:pPr>
            <w:r w:rsidRPr="00F67717">
              <w:rPr>
                <w:rFonts w:ascii="Aptos" w:eastAsia="Times New Roman" w:hAnsi="Aptos"/>
                <w:color w:val="000000"/>
                <w:sz w:val="20"/>
                <w:szCs w:val="20"/>
              </w:rPr>
              <w:t>Subtotal</w:t>
            </w:r>
          </w:p>
        </w:tc>
        <w:tc>
          <w:tcPr>
            <w:tcW w:w="1820" w:type="dxa"/>
            <w:tcBorders>
              <w:top w:val="nil"/>
              <w:left w:val="nil"/>
              <w:bottom w:val="nil"/>
              <w:right w:val="nil"/>
            </w:tcBorders>
            <w:noWrap/>
            <w:vAlign w:val="bottom"/>
            <w:hideMark/>
          </w:tcPr>
          <w:p w14:paraId="7702634F" w14:textId="77777777" w:rsidR="007433B1" w:rsidRPr="00F67717" w:rsidRDefault="007433B1" w:rsidP="00A256C9">
            <w:pPr>
              <w:spacing w:after="0" w:line="240" w:lineRule="auto"/>
              <w:jc w:val="right"/>
              <w:rPr>
                <w:rFonts w:ascii="Aptos" w:eastAsia="Times New Roman" w:hAnsi="Aptos"/>
                <w:color w:val="000000"/>
                <w:sz w:val="20"/>
                <w:szCs w:val="20"/>
                <w:u w:val="double"/>
              </w:rPr>
            </w:pPr>
            <w:r w:rsidRPr="00F67717">
              <w:rPr>
                <w:rFonts w:ascii="Aptos" w:eastAsia="Times New Roman" w:hAnsi="Aptos"/>
                <w:color w:val="000000"/>
                <w:sz w:val="20"/>
                <w:szCs w:val="20"/>
                <w:u w:val="double"/>
              </w:rPr>
              <w:t>$92,368,745</w:t>
            </w:r>
          </w:p>
        </w:tc>
        <w:tc>
          <w:tcPr>
            <w:tcW w:w="258" w:type="dxa"/>
            <w:tcBorders>
              <w:top w:val="nil"/>
              <w:left w:val="nil"/>
              <w:bottom w:val="nil"/>
              <w:right w:val="nil"/>
            </w:tcBorders>
            <w:noWrap/>
            <w:vAlign w:val="bottom"/>
            <w:hideMark/>
          </w:tcPr>
          <w:p w14:paraId="31A8D219" w14:textId="77777777" w:rsidR="007433B1" w:rsidRPr="00F67717" w:rsidRDefault="007433B1" w:rsidP="00A256C9">
            <w:pPr>
              <w:spacing w:after="0" w:line="240" w:lineRule="auto"/>
              <w:jc w:val="right"/>
              <w:rPr>
                <w:rFonts w:ascii="Aptos" w:eastAsia="Times New Roman" w:hAnsi="Aptos"/>
                <w:color w:val="000000"/>
                <w:sz w:val="20"/>
                <w:szCs w:val="20"/>
                <w:u w:val="double"/>
              </w:rPr>
            </w:pPr>
          </w:p>
        </w:tc>
        <w:tc>
          <w:tcPr>
            <w:tcW w:w="1820" w:type="dxa"/>
            <w:tcBorders>
              <w:top w:val="nil"/>
              <w:left w:val="nil"/>
              <w:bottom w:val="nil"/>
              <w:right w:val="single" w:sz="8" w:space="0" w:color="auto"/>
            </w:tcBorders>
            <w:noWrap/>
            <w:vAlign w:val="bottom"/>
            <w:hideMark/>
          </w:tcPr>
          <w:p w14:paraId="3490E16C" w14:textId="77777777" w:rsidR="007433B1" w:rsidRPr="00F67717" w:rsidRDefault="007433B1" w:rsidP="00A256C9">
            <w:pPr>
              <w:spacing w:after="0" w:line="240" w:lineRule="auto"/>
              <w:jc w:val="right"/>
              <w:rPr>
                <w:rFonts w:ascii="Aptos" w:eastAsia="Times New Roman" w:hAnsi="Aptos"/>
                <w:color w:val="000000"/>
                <w:sz w:val="20"/>
                <w:szCs w:val="20"/>
                <w:u w:val="double"/>
              </w:rPr>
            </w:pPr>
            <w:r w:rsidRPr="00F67717">
              <w:rPr>
                <w:rFonts w:ascii="Aptos" w:eastAsia="Times New Roman" w:hAnsi="Aptos"/>
                <w:color w:val="000000"/>
                <w:sz w:val="20"/>
                <w:szCs w:val="20"/>
                <w:u w:val="double"/>
              </w:rPr>
              <w:t>$88,300,441</w:t>
            </w:r>
          </w:p>
        </w:tc>
      </w:tr>
      <w:tr w:rsidR="007433B1" w:rsidRPr="00F67717" w14:paraId="5D55EE34" w14:textId="77777777" w:rsidTr="00A256C9">
        <w:trPr>
          <w:trHeight w:val="300"/>
          <w:jc w:val="center"/>
        </w:trPr>
        <w:tc>
          <w:tcPr>
            <w:tcW w:w="2320" w:type="dxa"/>
            <w:tcBorders>
              <w:top w:val="nil"/>
              <w:left w:val="single" w:sz="8" w:space="0" w:color="auto"/>
              <w:bottom w:val="nil"/>
              <w:right w:val="nil"/>
            </w:tcBorders>
            <w:noWrap/>
            <w:vAlign w:val="bottom"/>
            <w:hideMark/>
          </w:tcPr>
          <w:p w14:paraId="5FB2AE5B" w14:textId="77777777" w:rsidR="007433B1" w:rsidRPr="00F67717" w:rsidRDefault="007433B1" w:rsidP="00A256C9">
            <w:pPr>
              <w:spacing w:after="0" w:line="240" w:lineRule="auto"/>
              <w:rPr>
                <w:rFonts w:ascii="Aptos" w:eastAsia="Times New Roman" w:hAnsi="Aptos"/>
                <w:color w:val="000000"/>
                <w:sz w:val="20"/>
                <w:szCs w:val="20"/>
              </w:rPr>
            </w:pPr>
            <w:r w:rsidRPr="00F67717">
              <w:rPr>
                <w:rFonts w:ascii="Aptos" w:eastAsia="Times New Roman" w:hAnsi="Aptos"/>
                <w:color w:val="000000"/>
                <w:sz w:val="20"/>
                <w:szCs w:val="20"/>
              </w:rPr>
              <w:t>Expenses</w:t>
            </w:r>
          </w:p>
        </w:tc>
        <w:tc>
          <w:tcPr>
            <w:tcW w:w="1820" w:type="dxa"/>
            <w:tcBorders>
              <w:top w:val="nil"/>
              <w:left w:val="nil"/>
              <w:bottom w:val="nil"/>
              <w:right w:val="nil"/>
            </w:tcBorders>
            <w:noWrap/>
            <w:vAlign w:val="bottom"/>
            <w:hideMark/>
          </w:tcPr>
          <w:p w14:paraId="64D7C627" w14:textId="77777777" w:rsidR="007433B1" w:rsidRPr="00F67717" w:rsidRDefault="007433B1" w:rsidP="00A256C9">
            <w:pPr>
              <w:spacing w:after="0" w:line="240" w:lineRule="auto"/>
              <w:jc w:val="right"/>
              <w:rPr>
                <w:rFonts w:ascii="Aptos" w:eastAsia="Times New Roman" w:hAnsi="Aptos"/>
                <w:color w:val="000000"/>
                <w:sz w:val="20"/>
                <w:szCs w:val="20"/>
              </w:rPr>
            </w:pPr>
            <w:r w:rsidRPr="00F67717">
              <w:rPr>
                <w:rFonts w:ascii="Aptos" w:eastAsia="Times New Roman" w:hAnsi="Aptos"/>
                <w:color w:val="000000"/>
                <w:sz w:val="20"/>
                <w:szCs w:val="20"/>
              </w:rPr>
              <w:t>84,315,777</w:t>
            </w:r>
          </w:p>
        </w:tc>
        <w:tc>
          <w:tcPr>
            <w:tcW w:w="258" w:type="dxa"/>
            <w:tcBorders>
              <w:top w:val="nil"/>
              <w:left w:val="nil"/>
              <w:bottom w:val="nil"/>
              <w:right w:val="nil"/>
            </w:tcBorders>
            <w:noWrap/>
            <w:vAlign w:val="bottom"/>
            <w:hideMark/>
          </w:tcPr>
          <w:p w14:paraId="44D9B1FD" w14:textId="77777777" w:rsidR="007433B1" w:rsidRPr="00F67717" w:rsidRDefault="007433B1" w:rsidP="00A256C9">
            <w:pPr>
              <w:spacing w:after="0" w:line="240" w:lineRule="auto"/>
              <w:jc w:val="right"/>
              <w:rPr>
                <w:rFonts w:ascii="Aptos" w:eastAsia="Times New Roman" w:hAnsi="Aptos"/>
                <w:color w:val="000000"/>
                <w:sz w:val="20"/>
                <w:szCs w:val="20"/>
              </w:rPr>
            </w:pPr>
          </w:p>
        </w:tc>
        <w:tc>
          <w:tcPr>
            <w:tcW w:w="1820" w:type="dxa"/>
            <w:tcBorders>
              <w:top w:val="nil"/>
              <w:left w:val="nil"/>
              <w:bottom w:val="nil"/>
              <w:right w:val="single" w:sz="8" w:space="0" w:color="auto"/>
            </w:tcBorders>
            <w:noWrap/>
            <w:vAlign w:val="bottom"/>
            <w:hideMark/>
          </w:tcPr>
          <w:p w14:paraId="6E8E1F5C" w14:textId="77777777" w:rsidR="007433B1" w:rsidRPr="00F67717" w:rsidRDefault="007433B1" w:rsidP="00A256C9">
            <w:pPr>
              <w:spacing w:after="0" w:line="240" w:lineRule="auto"/>
              <w:jc w:val="right"/>
              <w:rPr>
                <w:rFonts w:ascii="Aptos" w:eastAsia="Times New Roman" w:hAnsi="Aptos"/>
                <w:color w:val="000000"/>
                <w:sz w:val="20"/>
                <w:szCs w:val="20"/>
              </w:rPr>
            </w:pPr>
            <w:r w:rsidRPr="00F67717">
              <w:rPr>
                <w:rFonts w:ascii="Aptos" w:eastAsia="Times New Roman" w:hAnsi="Aptos"/>
                <w:color w:val="000000"/>
                <w:sz w:val="20"/>
                <w:szCs w:val="20"/>
              </w:rPr>
              <w:t>89,697,563</w:t>
            </w:r>
          </w:p>
        </w:tc>
      </w:tr>
      <w:tr w:rsidR="007433B1" w:rsidRPr="00F67717" w14:paraId="607DE0A2" w14:textId="77777777" w:rsidTr="00A256C9">
        <w:trPr>
          <w:trHeight w:val="345"/>
          <w:jc w:val="center"/>
        </w:trPr>
        <w:tc>
          <w:tcPr>
            <w:tcW w:w="2320" w:type="dxa"/>
            <w:tcBorders>
              <w:top w:val="nil"/>
              <w:left w:val="single" w:sz="8" w:space="0" w:color="auto"/>
              <w:bottom w:val="nil"/>
              <w:right w:val="nil"/>
            </w:tcBorders>
            <w:noWrap/>
            <w:vAlign w:val="bottom"/>
            <w:hideMark/>
          </w:tcPr>
          <w:p w14:paraId="44A01C61" w14:textId="77777777" w:rsidR="007433B1" w:rsidRPr="00F67717" w:rsidRDefault="007433B1" w:rsidP="00A256C9">
            <w:pPr>
              <w:spacing w:after="0" w:line="240" w:lineRule="auto"/>
              <w:rPr>
                <w:rFonts w:ascii="Aptos" w:eastAsia="Times New Roman" w:hAnsi="Aptos"/>
                <w:color w:val="000000"/>
                <w:sz w:val="20"/>
                <w:szCs w:val="20"/>
              </w:rPr>
            </w:pPr>
            <w:proofErr w:type="gramStart"/>
            <w:r w:rsidRPr="00F67717">
              <w:rPr>
                <w:rFonts w:ascii="Aptos" w:eastAsia="Times New Roman" w:hAnsi="Aptos"/>
                <w:color w:val="000000"/>
                <w:sz w:val="20"/>
                <w:szCs w:val="20"/>
              </w:rPr>
              <w:t>Other</w:t>
            </w:r>
            <w:proofErr w:type="gramEnd"/>
            <w:r w:rsidRPr="00F67717">
              <w:rPr>
                <w:rFonts w:ascii="Aptos" w:eastAsia="Times New Roman" w:hAnsi="Aptos"/>
                <w:color w:val="000000"/>
                <w:sz w:val="20"/>
                <w:szCs w:val="20"/>
              </w:rPr>
              <w:t xml:space="preserve"> outgo</w:t>
            </w:r>
          </w:p>
        </w:tc>
        <w:tc>
          <w:tcPr>
            <w:tcW w:w="1820" w:type="dxa"/>
            <w:tcBorders>
              <w:top w:val="nil"/>
              <w:left w:val="nil"/>
              <w:bottom w:val="nil"/>
              <w:right w:val="nil"/>
            </w:tcBorders>
            <w:noWrap/>
            <w:vAlign w:val="bottom"/>
            <w:hideMark/>
          </w:tcPr>
          <w:p w14:paraId="4D6D86C3" w14:textId="77777777" w:rsidR="007433B1" w:rsidRPr="00F67717" w:rsidRDefault="007433B1" w:rsidP="00A256C9">
            <w:pPr>
              <w:spacing w:after="0" w:line="240" w:lineRule="auto"/>
              <w:jc w:val="right"/>
              <w:rPr>
                <w:rFonts w:ascii="Aptos" w:eastAsia="Times New Roman" w:hAnsi="Aptos"/>
                <w:color w:val="000000"/>
                <w:sz w:val="20"/>
                <w:szCs w:val="20"/>
                <w:u w:val="single"/>
              </w:rPr>
            </w:pPr>
            <w:r w:rsidRPr="00F67717">
              <w:rPr>
                <w:rFonts w:ascii="Aptos" w:eastAsia="Times New Roman" w:hAnsi="Aptos"/>
                <w:color w:val="000000"/>
                <w:sz w:val="20"/>
                <w:szCs w:val="20"/>
                <w:u w:val="single"/>
              </w:rPr>
              <w:t>5,055,183</w:t>
            </w:r>
          </w:p>
        </w:tc>
        <w:tc>
          <w:tcPr>
            <w:tcW w:w="258" w:type="dxa"/>
            <w:tcBorders>
              <w:top w:val="nil"/>
              <w:left w:val="nil"/>
              <w:bottom w:val="nil"/>
              <w:right w:val="nil"/>
            </w:tcBorders>
            <w:noWrap/>
            <w:vAlign w:val="bottom"/>
            <w:hideMark/>
          </w:tcPr>
          <w:p w14:paraId="7DD7B24A" w14:textId="77777777" w:rsidR="007433B1" w:rsidRPr="00F67717" w:rsidRDefault="007433B1" w:rsidP="00A256C9">
            <w:pPr>
              <w:spacing w:after="0" w:line="240" w:lineRule="auto"/>
              <w:jc w:val="right"/>
              <w:rPr>
                <w:rFonts w:ascii="Aptos" w:eastAsia="Times New Roman" w:hAnsi="Aptos"/>
                <w:color w:val="000000"/>
                <w:sz w:val="20"/>
                <w:szCs w:val="20"/>
                <w:u w:val="single"/>
              </w:rPr>
            </w:pPr>
          </w:p>
        </w:tc>
        <w:tc>
          <w:tcPr>
            <w:tcW w:w="1820" w:type="dxa"/>
            <w:tcBorders>
              <w:top w:val="nil"/>
              <w:left w:val="nil"/>
              <w:bottom w:val="nil"/>
              <w:right w:val="single" w:sz="8" w:space="0" w:color="auto"/>
            </w:tcBorders>
            <w:noWrap/>
            <w:vAlign w:val="bottom"/>
            <w:hideMark/>
          </w:tcPr>
          <w:p w14:paraId="56DFBDB6" w14:textId="77777777" w:rsidR="007433B1" w:rsidRPr="00F67717" w:rsidRDefault="007433B1" w:rsidP="00A256C9">
            <w:pPr>
              <w:spacing w:after="0" w:line="240" w:lineRule="auto"/>
              <w:jc w:val="right"/>
              <w:rPr>
                <w:rFonts w:ascii="Aptos" w:eastAsia="Times New Roman" w:hAnsi="Aptos"/>
                <w:color w:val="000000"/>
                <w:sz w:val="20"/>
                <w:szCs w:val="20"/>
                <w:u w:val="single"/>
              </w:rPr>
            </w:pPr>
            <w:r w:rsidRPr="00F67717">
              <w:rPr>
                <w:rFonts w:ascii="Aptos" w:eastAsia="Times New Roman" w:hAnsi="Aptos"/>
                <w:color w:val="000000"/>
                <w:sz w:val="20"/>
                <w:szCs w:val="20"/>
                <w:u w:val="single"/>
              </w:rPr>
              <w:t>4,530,156</w:t>
            </w:r>
          </w:p>
        </w:tc>
      </w:tr>
      <w:tr w:rsidR="007433B1" w:rsidRPr="00F67717" w14:paraId="3B238242" w14:textId="77777777" w:rsidTr="00A256C9">
        <w:trPr>
          <w:trHeight w:val="300"/>
          <w:jc w:val="center"/>
        </w:trPr>
        <w:tc>
          <w:tcPr>
            <w:tcW w:w="2320" w:type="dxa"/>
            <w:tcBorders>
              <w:top w:val="nil"/>
              <w:left w:val="single" w:sz="8" w:space="0" w:color="auto"/>
              <w:bottom w:val="nil"/>
              <w:right w:val="nil"/>
            </w:tcBorders>
            <w:noWrap/>
            <w:vAlign w:val="bottom"/>
            <w:hideMark/>
          </w:tcPr>
          <w:p w14:paraId="581F87CF" w14:textId="77777777" w:rsidR="007433B1" w:rsidRPr="00F67717" w:rsidRDefault="007433B1" w:rsidP="00A256C9">
            <w:pPr>
              <w:spacing w:after="0" w:line="240" w:lineRule="auto"/>
              <w:jc w:val="center"/>
              <w:rPr>
                <w:rFonts w:ascii="Aptos" w:eastAsia="Times New Roman" w:hAnsi="Aptos"/>
                <w:color w:val="000000"/>
                <w:sz w:val="20"/>
                <w:szCs w:val="20"/>
              </w:rPr>
            </w:pPr>
            <w:r w:rsidRPr="00F67717">
              <w:rPr>
                <w:rFonts w:ascii="Aptos" w:eastAsia="Times New Roman" w:hAnsi="Aptos"/>
                <w:color w:val="000000"/>
                <w:sz w:val="20"/>
                <w:szCs w:val="20"/>
              </w:rPr>
              <w:t>Subtotal</w:t>
            </w:r>
          </w:p>
        </w:tc>
        <w:tc>
          <w:tcPr>
            <w:tcW w:w="1820" w:type="dxa"/>
            <w:tcBorders>
              <w:top w:val="nil"/>
              <w:left w:val="nil"/>
              <w:bottom w:val="nil"/>
              <w:right w:val="nil"/>
            </w:tcBorders>
            <w:noWrap/>
            <w:vAlign w:val="bottom"/>
            <w:hideMark/>
          </w:tcPr>
          <w:p w14:paraId="4CA9EBB0" w14:textId="77777777" w:rsidR="007433B1" w:rsidRPr="00F67717" w:rsidRDefault="007433B1" w:rsidP="00A256C9">
            <w:pPr>
              <w:spacing w:after="0" w:line="240" w:lineRule="auto"/>
              <w:jc w:val="right"/>
              <w:rPr>
                <w:rFonts w:ascii="Aptos" w:eastAsia="Times New Roman" w:hAnsi="Aptos"/>
                <w:color w:val="000000"/>
                <w:sz w:val="20"/>
                <w:szCs w:val="20"/>
                <w:u w:val="double"/>
              </w:rPr>
            </w:pPr>
            <w:r w:rsidRPr="00F67717">
              <w:rPr>
                <w:rFonts w:ascii="Aptos" w:eastAsia="Times New Roman" w:hAnsi="Aptos"/>
                <w:color w:val="000000"/>
                <w:sz w:val="20"/>
                <w:szCs w:val="20"/>
                <w:u w:val="double"/>
              </w:rPr>
              <w:t>$89,370,960</w:t>
            </w:r>
          </w:p>
        </w:tc>
        <w:tc>
          <w:tcPr>
            <w:tcW w:w="258" w:type="dxa"/>
            <w:tcBorders>
              <w:top w:val="nil"/>
              <w:left w:val="nil"/>
              <w:bottom w:val="nil"/>
              <w:right w:val="nil"/>
            </w:tcBorders>
            <w:noWrap/>
            <w:vAlign w:val="bottom"/>
            <w:hideMark/>
          </w:tcPr>
          <w:p w14:paraId="2DC39076" w14:textId="77777777" w:rsidR="007433B1" w:rsidRPr="00F67717" w:rsidRDefault="007433B1" w:rsidP="00A256C9">
            <w:pPr>
              <w:spacing w:after="0" w:line="240" w:lineRule="auto"/>
              <w:jc w:val="right"/>
              <w:rPr>
                <w:rFonts w:ascii="Aptos" w:eastAsia="Times New Roman" w:hAnsi="Aptos"/>
                <w:color w:val="000000"/>
                <w:sz w:val="20"/>
                <w:szCs w:val="20"/>
                <w:u w:val="double"/>
              </w:rPr>
            </w:pPr>
          </w:p>
        </w:tc>
        <w:tc>
          <w:tcPr>
            <w:tcW w:w="1820" w:type="dxa"/>
            <w:tcBorders>
              <w:top w:val="nil"/>
              <w:left w:val="nil"/>
              <w:bottom w:val="nil"/>
              <w:right w:val="single" w:sz="8" w:space="0" w:color="auto"/>
            </w:tcBorders>
            <w:noWrap/>
            <w:vAlign w:val="bottom"/>
            <w:hideMark/>
          </w:tcPr>
          <w:p w14:paraId="4289CA52" w14:textId="77777777" w:rsidR="007433B1" w:rsidRPr="00F67717" w:rsidRDefault="007433B1" w:rsidP="00A256C9">
            <w:pPr>
              <w:spacing w:after="0" w:line="240" w:lineRule="auto"/>
              <w:jc w:val="right"/>
              <w:rPr>
                <w:rFonts w:ascii="Aptos" w:eastAsia="Times New Roman" w:hAnsi="Aptos"/>
                <w:color w:val="000000"/>
                <w:sz w:val="20"/>
                <w:szCs w:val="20"/>
                <w:u w:val="double"/>
              </w:rPr>
            </w:pPr>
            <w:r w:rsidRPr="00F67717">
              <w:rPr>
                <w:rFonts w:ascii="Aptos" w:eastAsia="Times New Roman" w:hAnsi="Aptos"/>
                <w:color w:val="000000"/>
                <w:sz w:val="20"/>
                <w:szCs w:val="20"/>
                <w:u w:val="double"/>
              </w:rPr>
              <w:t>$94,227,719</w:t>
            </w:r>
          </w:p>
        </w:tc>
      </w:tr>
      <w:tr w:rsidR="007433B1" w:rsidRPr="00F67717" w14:paraId="2DD80423" w14:textId="77777777" w:rsidTr="00A256C9">
        <w:trPr>
          <w:trHeight w:val="300"/>
          <w:jc w:val="center"/>
        </w:trPr>
        <w:tc>
          <w:tcPr>
            <w:tcW w:w="2320" w:type="dxa"/>
            <w:tcBorders>
              <w:top w:val="nil"/>
              <w:left w:val="single" w:sz="8" w:space="0" w:color="auto"/>
              <w:bottom w:val="nil"/>
              <w:right w:val="nil"/>
            </w:tcBorders>
            <w:noWrap/>
            <w:vAlign w:val="bottom"/>
            <w:hideMark/>
          </w:tcPr>
          <w:p w14:paraId="5C48E8FA" w14:textId="77777777" w:rsidR="007433B1" w:rsidRPr="00F67717" w:rsidRDefault="007433B1" w:rsidP="00A256C9">
            <w:pPr>
              <w:spacing w:after="0" w:line="240" w:lineRule="auto"/>
              <w:jc w:val="center"/>
              <w:rPr>
                <w:rFonts w:ascii="Aptos" w:eastAsia="Times New Roman" w:hAnsi="Aptos"/>
                <w:color w:val="000000"/>
                <w:sz w:val="20"/>
                <w:szCs w:val="20"/>
              </w:rPr>
            </w:pPr>
            <w:r w:rsidRPr="00F67717">
              <w:rPr>
                <w:rFonts w:ascii="Aptos" w:eastAsia="Times New Roman" w:hAnsi="Aptos"/>
                <w:color w:val="000000"/>
                <w:sz w:val="20"/>
                <w:szCs w:val="20"/>
              </w:rPr>
              <w:t>Net</w:t>
            </w:r>
          </w:p>
        </w:tc>
        <w:tc>
          <w:tcPr>
            <w:tcW w:w="1820" w:type="dxa"/>
            <w:tcBorders>
              <w:top w:val="nil"/>
              <w:left w:val="nil"/>
              <w:bottom w:val="nil"/>
              <w:right w:val="nil"/>
            </w:tcBorders>
            <w:noWrap/>
            <w:vAlign w:val="bottom"/>
            <w:hideMark/>
          </w:tcPr>
          <w:p w14:paraId="741EB834" w14:textId="77777777" w:rsidR="007433B1" w:rsidRPr="00F67717" w:rsidRDefault="007433B1" w:rsidP="00A256C9">
            <w:pPr>
              <w:spacing w:after="0" w:line="240" w:lineRule="auto"/>
              <w:jc w:val="right"/>
              <w:rPr>
                <w:rFonts w:ascii="Aptos" w:eastAsia="Times New Roman" w:hAnsi="Aptos"/>
                <w:color w:val="000000"/>
                <w:sz w:val="20"/>
                <w:szCs w:val="20"/>
              </w:rPr>
            </w:pPr>
            <w:r w:rsidRPr="00F67717">
              <w:rPr>
                <w:rFonts w:ascii="Aptos" w:eastAsia="Times New Roman" w:hAnsi="Aptos"/>
                <w:color w:val="000000"/>
                <w:sz w:val="20"/>
                <w:szCs w:val="20"/>
              </w:rPr>
              <w:t>2,997,785</w:t>
            </w:r>
          </w:p>
        </w:tc>
        <w:tc>
          <w:tcPr>
            <w:tcW w:w="258" w:type="dxa"/>
            <w:tcBorders>
              <w:top w:val="nil"/>
              <w:left w:val="nil"/>
              <w:bottom w:val="nil"/>
              <w:right w:val="nil"/>
            </w:tcBorders>
            <w:noWrap/>
            <w:vAlign w:val="bottom"/>
            <w:hideMark/>
          </w:tcPr>
          <w:p w14:paraId="598D869E" w14:textId="77777777" w:rsidR="007433B1" w:rsidRPr="00F67717" w:rsidRDefault="007433B1" w:rsidP="00A256C9">
            <w:pPr>
              <w:spacing w:after="0" w:line="240" w:lineRule="auto"/>
              <w:jc w:val="right"/>
              <w:rPr>
                <w:rFonts w:ascii="Aptos" w:eastAsia="Times New Roman" w:hAnsi="Aptos"/>
                <w:color w:val="000000"/>
                <w:sz w:val="20"/>
                <w:szCs w:val="20"/>
              </w:rPr>
            </w:pPr>
          </w:p>
        </w:tc>
        <w:tc>
          <w:tcPr>
            <w:tcW w:w="1820" w:type="dxa"/>
            <w:tcBorders>
              <w:top w:val="nil"/>
              <w:left w:val="nil"/>
              <w:bottom w:val="nil"/>
              <w:right w:val="single" w:sz="8" w:space="0" w:color="auto"/>
            </w:tcBorders>
            <w:noWrap/>
            <w:vAlign w:val="bottom"/>
            <w:hideMark/>
          </w:tcPr>
          <w:p w14:paraId="2572529C" w14:textId="77777777" w:rsidR="007433B1" w:rsidRPr="00F67717" w:rsidRDefault="007433B1" w:rsidP="00A256C9">
            <w:pPr>
              <w:spacing w:after="0" w:line="240" w:lineRule="auto"/>
              <w:jc w:val="right"/>
              <w:rPr>
                <w:rFonts w:ascii="Aptos" w:eastAsia="Times New Roman" w:hAnsi="Aptos"/>
                <w:color w:val="000000"/>
                <w:sz w:val="20"/>
                <w:szCs w:val="20"/>
              </w:rPr>
            </w:pPr>
            <w:r w:rsidRPr="00F67717">
              <w:rPr>
                <w:rFonts w:ascii="Aptos" w:eastAsia="Times New Roman" w:hAnsi="Aptos"/>
                <w:color w:val="000000"/>
                <w:sz w:val="20"/>
                <w:szCs w:val="20"/>
              </w:rPr>
              <w:t>(5,927,278)</w:t>
            </w:r>
          </w:p>
        </w:tc>
      </w:tr>
      <w:tr w:rsidR="007433B1" w:rsidRPr="00F67717" w14:paraId="5BB307C0" w14:textId="77777777" w:rsidTr="00A256C9">
        <w:trPr>
          <w:trHeight w:val="345"/>
          <w:jc w:val="center"/>
        </w:trPr>
        <w:tc>
          <w:tcPr>
            <w:tcW w:w="2320" w:type="dxa"/>
            <w:tcBorders>
              <w:top w:val="nil"/>
              <w:left w:val="single" w:sz="8" w:space="0" w:color="auto"/>
              <w:bottom w:val="nil"/>
              <w:right w:val="nil"/>
            </w:tcBorders>
            <w:noWrap/>
            <w:vAlign w:val="bottom"/>
            <w:hideMark/>
          </w:tcPr>
          <w:p w14:paraId="532387E8" w14:textId="77777777" w:rsidR="007433B1" w:rsidRPr="00F67717" w:rsidRDefault="007433B1" w:rsidP="00A256C9">
            <w:pPr>
              <w:spacing w:after="0" w:line="240" w:lineRule="auto"/>
              <w:rPr>
                <w:rFonts w:ascii="Aptos" w:eastAsia="Times New Roman" w:hAnsi="Aptos"/>
                <w:color w:val="000000"/>
                <w:sz w:val="20"/>
                <w:szCs w:val="20"/>
              </w:rPr>
            </w:pPr>
            <w:r w:rsidRPr="00F67717">
              <w:rPr>
                <w:rFonts w:ascii="Aptos" w:eastAsia="Times New Roman" w:hAnsi="Aptos"/>
                <w:color w:val="000000"/>
                <w:sz w:val="20"/>
                <w:szCs w:val="20"/>
              </w:rPr>
              <w:t>One Time Funds</w:t>
            </w:r>
          </w:p>
        </w:tc>
        <w:tc>
          <w:tcPr>
            <w:tcW w:w="1820" w:type="dxa"/>
            <w:tcBorders>
              <w:top w:val="nil"/>
              <w:left w:val="nil"/>
              <w:bottom w:val="single" w:sz="4" w:space="0" w:color="auto"/>
              <w:right w:val="nil"/>
            </w:tcBorders>
            <w:noWrap/>
            <w:vAlign w:val="bottom"/>
            <w:hideMark/>
          </w:tcPr>
          <w:p w14:paraId="1521BD47" w14:textId="77777777" w:rsidR="007433B1" w:rsidRPr="00F67717" w:rsidRDefault="007433B1" w:rsidP="00A256C9">
            <w:pPr>
              <w:spacing w:after="0" w:line="240" w:lineRule="auto"/>
              <w:jc w:val="right"/>
              <w:rPr>
                <w:rFonts w:ascii="Aptos" w:eastAsia="Times New Roman" w:hAnsi="Aptos"/>
                <w:color w:val="000000"/>
                <w:sz w:val="20"/>
                <w:szCs w:val="20"/>
              </w:rPr>
            </w:pPr>
            <w:r w:rsidRPr="00F67717">
              <w:rPr>
                <w:rFonts w:ascii="Aptos" w:eastAsia="Times New Roman" w:hAnsi="Aptos"/>
                <w:color w:val="000000"/>
                <w:sz w:val="20"/>
                <w:szCs w:val="20"/>
              </w:rPr>
              <w:t>0</w:t>
            </w:r>
          </w:p>
        </w:tc>
        <w:tc>
          <w:tcPr>
            <w:tcW w:w="258" w:type="dxa"/>
            <w:tcBorders>
              <w:top w:val="nil"/>
              <w:left w:val="nil"/>
              <w:bottom w:val="nil"/>
              <w:right w:val="nil"/>
            </w:tcBorders>
            <w:noWrap/>
            <w:vAlign w:val="bottom"/>
            <w:hideMark/>
          </w:tcPr>
          <w:p w14:paraId="4A671925" w14:textId="77777777" w:rsidR="007433B1" w:rsidRPr="00F67717" w:rsidRDefault="007433B1" w:rsidP="00A256C9">
            <w:pPr>
              <w:spacing w:after="0" w:line="240" w:lineRule="auto"/>
              <w:jc w:val="right"/>
              <w:rPr>
                <w:rFonts w:ascii="Aptos" w:eastAsia="Times New Roman" w:hAnsi="Aptos"/>
                <w:color w:val="000000"/>
                <w:sz w:val="20"/>
                <w:szCs w:val="20"/>
              </w:rPr>
            </w:pPr>
          </w:p>
        </w:tc>
        <w:tc>
          <w:tcPr>
            <w:tcW w:w="1820" w:type="dxa"/>
            <w:tcBorders>
              <w:top w:val="nil"/>
              <w:left w:val="nil"/>
              <w:bottom w:val="single" w:sz="4" w:space="0" w:color="auto"/>
              <w:right w:val="single" w:sz="8" w:space="0" w:color="auto"/>
            </w:tcBorders>
            <w:noWrap/>
            <w:vAlign w:val="bottom"/>
            <w:hideMark/>
          </w:tcPr>
          <w:p w14:paraId="703C7DCD" w14:textId="77777777" w:rsidR="007433B1" w:rsidRPr="00F67717" w:rsidRDefault="007433B1" w:rsidP="00A256C9">
            <w:pPr>
              <w:spacing w:after="0" w:line="240" w:lineRule="auto"/>
              <w:jc w:val="right"/>
              <w:rPr>
                <w:rFonts w:ascii="Aptos" w:eastAsia="Times New Roman" w:hAnsi="Aptos"/>
                <w:color w:val="000000"/>
                <w:sz w:val="20"/>
                <w:szCs w:val="20"/>
              </w:rPr>
            </w:pPr>
            <w:r w:rsidRPr="00F67717">
              <w:rPr>
                <w:rFonts w:ascii="Aptos" w:eastAsia="Times New Roman" w:hAnsi="Aptos"/>
                <w:color w:val="000000"/>
                <w:sz w:val="20"/>
                <w:szCs w:val="20"/>
              </w:rPr>
              <w:t>5,927,278</w:t>
            </w:r>
          </w:p>
        </w:tc>
      </w:tr>
      <w:tr w:rsidR="007433B1" w:rsidRPr="00F67717" w14:paraId="4BED97E8" w14:textId="77777777" w:rsidTr="00A256C9">
        <w:trPr>
          <w:trHeight w:val="315"/>
          <w:jc w:val="center"/>
        </w:trPr>
        <w:tc>
          <w:tcPr>
            <w:tcW w:w="2320" w:type="dxa"/>
            <w:tcBorders>
              <w:top w:val="nil"/>
              <w:left w:val="single" w:sz="8" w:space="0" w:color="auto"/>
              <w:bottom w:val="nil"/>
              <w:right w:val="nil"/>
            </w:tcBorders>
            <w:noWrap/>
            <w:vAlign w:val="bottom"/>
            <w:hideMark/>
          </w:tcPr>
          <w:p w14:paraId="7E3D2856" w14:textId="77777777" w:rsidR="007433B1" w:rsidRPr="00F67717" w:rsidRDefault="007433B1" w:rsidP="00A256C9">
            <w:pPr>
              <w:spacing w:after="0" w:line="240" w:lineRule="auto"/>
              <w:jc w:val="center"/>
              <w:rPr>
                <w:rFonts w:ascii="Aptos" w:eastAsia="Times New Roman" w:hAnsi="Aptos"/>
                <w:color w:val="000000"/>
                <w:sz w:val="20"/>
                <w:szCs w:val="20"/>
              </w:rPr>
            </w:pPr>
            <w:r w:rsidRPr="00F67717">
              <w:rPr>
                <w:rFonts w:ascii="Aptos" w:eastAsia="Times New Roman" w:hAnsi="Aptos"/>
                <w:color w:val="000000"/>
                <w:sz w:val="20"/>
                <w:szCs w:val="20"/>
              </w:rPr>
              <w:t>Ending Fund Balance</w:t>
            </w:r>
          </w:p>
        </w:tc>
        <w:tc>
          <w:tcPr>
            <w:tcW w:w="1820" w:type="dxa"/>
            <w:tcBorders>
              <w:top w:val="nil"/>
              <w:left w:val="nil"/>
              <w:bottom w:val="double" w:sz="6" w:space="0" w:color="auto"/>
              <w:right w:val="nil"/>
            </w:tcBorders>
            <w:noWrap/>
            <w:vAlign w:val="bottom"/>
            <w:hideMark/>
          </w:tcPr>
          <w:p w14:paraId="0B417869" w14:textId="77777777" w:rsidR="007433B1" w:rsidRPr="00F67717" w:rsidRDefault="007433B1" w:rsidP="00A256C9">
            <w:pPr>
              <w:spacing w:after="0" w:line="240" w:lineRule="auto"/>
              <w:jc w:val="right"/>
              <w:rPr>
                <w:rFonts w:ascii="Aptos" w:eastAsia="Times New Roman" w:hAnsi="Aptos"/>
                <w:color w:val="000000"/>
                <w:sz w:val="20"/>
                <w:szCs w:val="20"/>
              </w:rPr>
            </w:pPr>
            <w:r w:rsidRPr="00F67717">
              <w:rPr>
                <w:rFonts w:ascii="Aptos" w:eastAsia="Times New Roman" w:hAnsi="Aptos"/>
                <w:color w:val="000000"/>
                <w:sz w:val="20"/>
                <w:szCs w:val="20"/>
              </w:rPr>
              <w:t>$35,076,705</w:t>
            </w:r>
          </w:p>
        </w:tc>
        <w:tc>
          <w:tcPr>
            <w:tcW w:w="258" w:type="dxa"/>
            <w:tcBorders>
              <w:top w:val="nil"/>
              <w:left w:val="nil"/>
              <w:bottom w:val="nil"/>
              <w:right w:val="nil"/>
            </w:tcBorders>
            <w:noWrap/>
            <w:vAlign w:val="bottom"/>
            <w:hideMark/>
          </w:tcPr>
          <w:p w14:paraId="69B50FB6" w14:textId="77777777" w:rsidR="007433B1" w:rsidRPr="00F67717" w:rsidRDefault="007433B1" w:rsidP="00A256C9">
            <w:pPr>
              <w:spacing w:after="0" w:line="240" w:lineRule="auto"/>
              <w:jc w:val="right"/>
              <w:rPr>
                <w:rFonts w:ascii="Aptos" w:eastAsia="Times New Roman" w:hAnsi="Aptos"/>
                <w:color w:val="000000"/>
                <w:sz w:val="20"/>
                <w:szCs w:val="20"/>
              </w:rPr>
            </w:pPr>
          </w:p>
        </w:tc>
        <w:tc>
          <w:tcPr>
            <w:tcW w:w="1820" w:type="dxa"/>
            <w:tcBorders>
              <w:top w:val="nil"/>
              <w:left w:val="nil"/>
              <w:bottom w:val="double" w:sz="6" w:space="0" w:color="auto"/>
              <w:right w:val="single" w:sz="8" w:space="0" w:color="auto"/>
            </w:tcBorders>
            <w:noWrap/>
            <w:vAlign w:val="bottom"/>
            <w:hideMark/>
          </w:tcPr>
          <w:p w14:paraId="6228A277" w14:textId="77777777" w:rsidR="007433B1" w:rsidRPr="00F67717" w:rsidRDefault="007433B1" w:rsidP="00A256C9">
            <w:pPr>
              <w:spacing w:after="0" w:line="240" w:lineRule="auto"/>
              <w:jc w:val="right"/>
              <w:rPr>
                <w:rFonts w:ascii="Aptos" w:eastAsia="Times New Roman" w:hAnsi="Aptos"/>
                <w:color w:val="000000"/>
                <w:sz w:val="20"/>
                <w:szCs w:val="20"/>
              </w:rPr>
            </w:pPr>
            <w:r w:rsidRPr="00F67717">
              <w:rPr>
                <w:rFonts w:ascii="Aptos" w:eastAsia="Times New Roman" w:hAnsi="Aptos"/>
                <w:color w:val="000000"/>
                <w:sz w:val="20"/>
                <w:szCs w:val="20"/>
              </w:rPr>
              <w:t xml:space="preserve">$29,149,427 </w:t>
            </w:r>
          </w:p>
        </w:tc>
      </w:tr>
      <w:tr w:rsidR="007433B1" w:rsidRPr="00F67717" w14:paraId="42873C09" w14:textId="77777777" w:rsidTr="00A256C9">
        <w:trPr>
          <w:trHeight w:val="330"/>
          <w:jc w:val="center"/>
        </w:trPr>
        <w:tc>
          <w:tcPr>
            <w:tcW w:w="2320" w:type="dxa"/>
            <w:tcBorders>
              <w:top w:val="nil"/>
              <w:left w:val="single" w:sz="8" w:space="0" w:color="auto"/>
              <w:bottom w:val="single" w:sz="8" w:space="0" w:color="auto"/>
              <w:right w:val="nil"/>
            </w:tcBorders>
            <w:noWrap/>
            <w:vAlign w:val="bottom"/>
            <w:hideMark/>
          </w:tcPr>
          <w:p w14:paraId="74E96F9A" w14:textId="77777777" w:rsidR="007433B1" w:rsidRPr="00F67717" w:rsidRDefault="007433B1" w:rsidP="00A256C9">
            <w:pPr>
              <w:spacing w:after="0" w:line="240" w:lineRule="auto"/>
              <w:rPr>
                <w:rFonts w:ascii="Aptos" w:eastAsia="Times New Roman" w:hAnsi="Aptos"/>
                <w:color w:val="000000"/>
                <w:sz w:val="20"/>
                <w:szCs w:val="20"/>
              </w:rPr>
            </w:pPr>
            <w:r w:rsidRPr="00F67717">
              <w:rPr>
                <w:rFonts w:ascii="Aptos" w:eastAsia="Times New Roman" w:hAnsi="Aptos"/>
                <w:color w:val="000000"/>
                <w:sz w:val="20"/>
                <w:szCs w:val="20"/>
              </w:rPr>
              <w:t>Percent of Expenses</w:t>
            </w:r>
          </w:p>
        </w:tc>
        <w:tc>
          <w:tcPr>
            <w:tcW w:w="1820" w:type="dxa"/>
            <w:tcBorders>
              <w:top w:val="nil"/>
              <w:left w:val="nil"/>
              <w:bottom w:val="single" w:sz="8" w:space="0" w:color="auto"/>
              <w:right w:val="nil"/>
            </w:tcBorders>
            <w:noWrap/>
            <w:vAlign w:val="bottom"/>
            <w:hideMark/>
          </w:tcPr>
          <w:p w14:paraId="3A6B5C5C" w14:textId="77777777" w:rsidR="007433B1" w:rsidRPr="00F67717" w:rsidRDefault="007433B1" w:rsidP="00A256C9">
            <w:pPr>
              <w:spacing w:after="0" w:line="240" w:lineRule="auto"/>
              <w:jc w:val="right"/>
              <w:rPr>
                <w:rFonts w:ascii="Aptos" w:eastAsia="Times New Roman" w:hAnsi="Aptos"/>
                <w:color w:val="000000"/>
                <w:sz w:val="20"/>
                <w:szCs w:val="20"/>
              </w:rPr>
            </w:pPr>
            <w:r w:rsidRPr="00F67717">
              <w:rPr>
                <w:rFonts w:ascii="Aptos" w:eastAsia="Times New Roman" w:hAnsi="Aptos"/>
                <w:color w:val="000000"/>
                <w:sz w:val="20"/>
                <w:szCs w:val="20"/>
              </w:rPr>
              <w:t>41.60%</w:t>
            </w:r>
          </w:p>
        </w:tc>
        <w:tc>
          <w:tcPr>
            <w:tcW w:w="258" w:type="dxa"/>
            <w:tcBorders>
              <w:top w:val="nil"/>
              <w:left w:val="nil"/>
              <w:bottom w:val="single" w:sz="8" w:space="0" w:color="auto"/>
              <w:right w:val="nil"/>
            </w:tcBorders>
            <w:noWrap/>
            <w:vAlign w:val="bottom"/>
            <w:hideMark/>
          </w:tcPr>
          <w:p w14:paraId="43C3012D" w14:textId="77777777" w:rsidR="007433B1" w:rsidRPr="00F67717" w:rsidRDefault="007433B1" w:rsidP="00A256C9">
            <w:pPr>
              <w:spacing w:after="0" w:line="240" w:lineRule="auto"/>
              <w:rPr>
                <w:rFonts w:ascii="Aptos" w:eastAsia="Times New Roman" w:hAnsi="Aptos"/>
                <w:color w:val="000000"/>
                <w:sz w:val="20"/>
                <w:szCs w:val="20"/>
              </w:rPr>
            </w:pPr>
            <w:r w:rsidRPr="00F67717">
              <w:rPr>
                <w:rFonts w:ascii="Aptos" w:eastAsia="Times New Roman" w:hAnsi="Aptos"/>
                <w:color w:val="000000"/>
                <w:sz w:val="20"/>
                <w:szCs w:val="20"/>
              </w:rPr>
              <w:t> </w:t>
            </w:r>
          </w:p>
        </w:tc>
        <w:tc>
          <w:tcPr>
            <w:tcW w:w="1820" w:type="dxa"/>
            <w:tcBorders>
              <w:top w:val="nil"/>
              <w:left w:val="nil"/>
              <w:bottom w:val="single" w:sz="8" w:space="0" w:color="auto"/>
              <w:right w:val="single" w:sz="8" w:space="0" w:color="auto"/>
            </w:tcBorders>
            <w:noWrap/>
            <w:vAlign w:val="bottom"/>
            <w:hideMark/>
          </w:tcPr>
          <w:p w14:paraId="2B10E754" w14:textId="77777777" w:rsidR="007433B1" w:rsidRPr="00F67717" w:rsidRDefault="007433B1" w:rsidP="00A256C9">
            <w:pPr>
              <w:spacing w:after="0" w:line="240" w:lineRule="auto"/>
              <w:jc w:val="right"/>
              <w:rPr>
                <w:rFonts w:ascii="Aptos" w:eastAsia="Times New Roman" w:hAnsi="Aptos"/>
                <w:color w:val="000000"/>
                <w:sz w:val="20"/>
                <w:szCs w:val="20"/>
              </w:rPr>
            </w:pPr>
            <w:r w:rsidRPr="00F67717">
              <w:rPr>
                <w:rFonts w:ascii="Aptos" w:eastAsia="Times New Roman" w:hAnsi="Aptos"/>
                <w:color w:val="000000"/>
                <w:sz w:val="20"/>
                <w:szCs w:val="20"/>
              </w:rPr>
              <w:t>32.50%</w:t>
            </w:r>
          </w:p>
        </w:tc>
      </w:tr>
    </w:tbl>
    <w:p w14:paraId="61799006" w14:textId="5272D900" w:rsidR="007433B1" w:rsidRPr="00F67717" w:rsidRDefault="007433B1" w:rsidP="00F67717">
      <w:pPr>
        <w:pBdr>
          <w:bottom w:val="single" w:sz="4" w:space="1" w:color="auto"/>
        </w:pBdr>
        <w:spacing w:before="240" w:after="120" w:line="259" w:lineRule="auto"/>
        <w:ind w:right="5040"/>
        <w:rPr>
          <w:b/>
          <w:bCs/>
          <w:sz w:val="22"/>
          <w:szCs w:val="22"/>
        </w:rPr>
      </w:pPr>
      <w:r w:rsidRPr="00F67717">
        <w:rPr>
          <w:b/>
          <w:bCs/>
          <w:sz w:val="22"/>
          <w:szCs w:val="22"/>
        </w:rPr>
        <w:t>I</w:t>
      </w:r>
      <w:r w:rsidR="00F67717">
        <w:rPr>
          <w:b/>
          <w:bCs/>
          <w:sz w:val="22"/>
          <w:szCs w:val="22"/>
        </w:rPr>
        <w:t>ncome</w:t>
      </w:r>
    </w:p>
    <w:p w14:paraId="0F9727A0" w14:textId="77777777" w:rsidR="007433B1" w:rsidRPr="007433B1" w:rsidRDefault="007433B1" w:rsidP="007433B1">
      <w:pPr>
        <w:spacing w:after="0" w:line="240" w:lineRule="auto"/>
        <w:rPr>
          <w:rFonts w:ascii="Aptos" w:hAnsi="Aptos" w:cs="Arial"/>
          <w:sz w:val="22"/>
          <w:szCs w:val="22"/>
        </w:rPr>
      </w:pPr>
      <w:bookmarkStart w:id="3" w:name="_Hlk169079804"/>
      <w:r w:rsidRPr="007433B1">
        <w:rPr>
          <w:rFonts w:ascii="Aptos" w:hAnsi="Aptos" w:cs="Arial"/>
          <w:sz w:val="22"/>
          <w:szCs w:val="22"/>
        </w:rPr>
        <w:t xml:space="preserve">Most of the income in the unrestricted general fund is earned through state apportionment. State income includes various types of state tax revenue and lottery funds. Local income includes local property tax revenue, nonresident tuition, enrollment fees and other miscellaneous sources. </w:t>
      </w:r>
      <w:r w:rsidRPr="007433B1">
        <w:rPr>
          <w:rFonts w:ascii="Aptos" w:eastAsia="Times New Roman" w:hAnsi="Aptos" w:cs="Arial"/>
          <w:sz w:val="22"/>
          <w:szCs w:val="22"/>
        </w:rPr>
        <w:t xml:space="preserve">The district’s FY25-26 apportionment is $80,132,873. This amount is based on </w:t>
      </w:r>
      <w:proofErr w:type="gramStart"/>
      <w:r w:rsidRPr="007433B1">
        <w:rPr>
          <w:rFonts w:ascii="Aptos" w:eastAsia="Times New Roman" w:hAnsi="Aptos" w:cs="Arial"/>
          <w:sz w:val="22"/>
          <w:szCs w:val="22"/>
        </w:rPr>
        <w:t>a number of</w:t>
      </w:r>
      <w:proofErr w:type="gramEnd"/>
      <w:r w:rsidRPr="007433B1">
        <w:rPr>
          <w:rFonts w:ascii="Aptos" w:eastAsia="Times New Roman" w:hAnsi="Aptos" w:cs="Arial"/>
          <w:sz w:val="22"/>
          <w:szCs w:val="22"/>
        </w:rPr>
        <w:t xml:space="preserve"> variables including the 8,369.57 full-time equivalent students (FTES) reported at the end of FY24-25. </w:t>
      </w:r>
      <w:r w:rsidRPr="007433B1">
        <w:rPr>
          <w:rFonts w:ascii="Aptos" w:hAnsi="Aptos" w:cs="Arial"/>
          <w:sz w:val="22"/>
          <w:szCs w:val="22"/>
        </w:rPr>
        <w:t>Income in FY25-26 is budgeted as follows:</w:t>
      </w:r>
    </w:p>
    <w:bookmarkEnd w:id="3"/>
    <w:p w14:paraId="34D7D8C0" w14:textId="77777777" w:rsidR="007433B1" w:rsidRPr="007433B1" w:rsidRDefault="007433B1" w:rsidP="007433B1">
      <w:pPr>
        <w:spacing w:after="0" w:line="240" w:lineRule="auto"/>
        <w:contextualSpacing/>
        <w:rPr>
          <w:rFonts w:ascii="Aptos" w:hAnsi="Aptos" w:cs="Arial"/>
          <w:sz w:val="22"/>
          <w:szCs w:val="22"/>
        </w:rPr>
      </w:pPr>
    </w:p>
    <w:tbl>
      <w:tblPr>
        <w:tblW w:w="4660" w:type="dxa"/>
        <w:jc w:val="center"/>
        <w:tblLook w:val="04A0" w:firstRow="1" w:lastRow="0" w:firstColumn="1" w:lastColumn="0" w:noHBand="0" w:noVBand="1"/>
      </w:tblPr>
      <w:tblGrid>
        <w:gridCol w:w="3000"/>
        <w:gridCol w:w="1660"/>
      </w:tblGrid>
      <w:tr w:rsidR="007433B1" w:rsidRPr="007433B1" w14:paraId="27AA2392" w14:textId="77777777" w:rsidTr="00A256C9">
        <w:trPr>
          <w:trHeight w:val="300"/>
          <w:jc w:val="center"/>
        </w:trPr>
        <w:tc>
          <w:tcPr>
            <w:tcW w:w="4660" w:type="dxa"/>
            <w:gridSpan w:val="2"/>
            <w:tcBorders>
              <w:top w:val="single" w:sz="8" w:space="0" w:color="auto"/>
              <w:left w:val="single" w:sz="8" w:space="0" w:color="auto"/>
              <w:bottom w:val="single" w:sz="4" w:space="0" w:color="000000"/>
              <w:right w:val="single" w:sz="8" w:space="0" w:color="000000"/>
            </w:tcBorders>
            <w:shd w:val="clear" w:color="000000" w:fill="D0D0D0"/>
            <w:noWrap/>
            <w:vAlign w:val="bottom"/>
            <w:hideMark/>
          </w:tcPr>
          <w:p w14:paraId="57A31D5B" w14:textId="77777777" w:rsidR="007433B1" w:rsidRPr="00F67717" w:rsidRDefault="007433B1" w:rsidP="00A256C9">
            <w:pPr>
              <w:spacing w:after="0" w:line="240" w:lineRule="auto"/>
              <w:jc w:val="center"/>
              <w:rPr>
                <w:rFonts w:ascii="Aptos" w:eastAsia="Times New Roman" w:hAnsi="Aptos"/>
                <w:b/>
                <w:bCs/>
                <w:color w:val="000000"/>
                <w:sz w:val="20"/>
                <w:szCs w:val="20"/>
              </w:rPr>
            </w:pPr>
            <w:r w:rsidRPr="00F67717">
              <w:rPr>
                <w:rFonts w:ascii="Aptos" w:eastAsia="Times New Roman" w:hAnsi="Aptos"/>
                <w:b/>
                <w:bCs/>
                <w:color w:val="000000"/>
                <w:sz w:val="20"/>
                <w:szCs w:val="20"/>
              </w:rPr>
              <w:lastRenderedPageBreak/>
              <w:t>FY25-26 Budgeted Income</w:t>
            </w:r>
          </w:p>
        </w:tc>
      </w:tr>
      <w:tr w:rsidR="007433B1" w:rsidRPr="007433B1" w14:paraId="2FB91964" w14:textId="77777777" w:rsidTr="001F09D1">
        <w:trPr>
          <w:trHeight w:val="20"/>
          <w:jc w:val="center"/>
        </w:trPr>
        <w:tc>
          <w:tcPr>
            <w:tcW w:w="3000" w:type="dxa"/>
            <w:tcBorders>
              <w:top w:val="nil"/>
              <w:left w:val="single" w:sz="8" w:space="0" w:color="auto"/>
              <w:bottom w:val="nil"/>
              <w:right w:val="nil"/>
            </w:tcBorders>
            <w:vAlign w:val="center"/>
            <w:hideMark/>
          </w:tcPr>
          <w:p w14:paraId="45236703" w14:textId="77777777" w:rsidR="007433B1" w:rsidRPr="00F67717" w:rsidRDefault="007433B1" w:rsidP="00A256C9">
            <w:pPr>
              <w:spacing w:after="0" w:line="240" w:lineRule="auto"/>
              <w:rPr>
                <w:rFonts w:ascii="Aptos" w:eastAsia="Times New Roman" w:hAnsi="Aptos" w:cs="Arial"/>
                <w:color w:val="000000"/>
                <w:sz w:val="20"/>
                <w:szCs w:val="20"/>
              </w:rPr>
            </w:pPr>
            <w:bookmarkStart w:id="4" w:name="RANGE!B4"/>
            <w:r w:rsidRPr="00F67717">
              <w:rPr>
                <w:rFonts w:ascii="Aptos" w:eastAsia="Times New Roman" w:hAnsi="Aptos" w:cs="Arial"/>
                <w:color w:val="000000"/>
                <w:sz w:val="20"/>
                <w:szCs w:val="20"/>
              </w:rPr>
              <w:t>Federal Income</w:t>
            </w:r>
            <w:bookmarkEnd w:id="4"/>
          </w:p>
        </w:tc>
        <w:tc>
          <w:tcPr>
            <w:tcW w:w="1660" w:type="dxa"/>
            <w:tcBorders>
              <w:top w:val="nil"/>
              <w:left w:val="nil"/>
              <w:bottom w:val="nil"/>
              <w:right w:val="single" w:sz="8" w:space="0" w:color="auto"/>
            </w:tcBorders>
            <w:vAlign w:val="center"/>
            <w:hideMark/>
          </w:tcPr>
          <w:p w14:paraId="7A33C929" w14:textId="77777777" w:rsidR="007433B1" w:rsidRPr="00F67717" w:rsidRDefault="007433B1" w:rsidP="00A256C9">
            <w:pPr>
              <w:spacing w:after="0" w:line="240" w:lineRule="auto"/>
              <w:jc w:val="right"/>
              <w:rPr>
                <w:rFonts w:ascii="Aptos" w:eastAsia="Times New Roman" w:hAnsi="Aptos" w:cs="Arial"/>
                <w:color w:val="000000"/>
                <w:sz w:val="20"/>
                <w:szCs w:val="20"/>
              </w:rPr>
            </w:pPr>
            <w:r w:rsidRPr="00F67717">
              <w:rPr>
                <w:rFonts w:ascii="Aptos" w:eastAsia="Times New Roman" w:hAnsi="Aptos" w:cs="Arial"/>
                <w:color w:val="000000"/>
                <w:sz w:val="20"/>
                <w:szCs w:val="20"/>
              </w:rPr>
              <w:t xml:space="preserve">$19,200 </w:t>
            </w:r>
          </w:p>
        </w:tc>
      </w:tr>
      <w:tr w:rsidR="007433B1" w:rsidRPr="007433B1" w14:paraId="6CCFB905" w14:textId="77777777" w:rsidTr="001F09D1">
        <w:trPr>
          <w:trHeight w:val="20"/>
          <w:jc w:val="center"/>
        </w:trPr>
        <w:tc>
          <w:tcPr>
            <w:tcW w:w="3000" w:type="dxa"/>
            <w:tcBorders>
              <w:top w:val="nil"/>
              <w:left w:val="single" w:sz="8" w:space="0" w:color="auto"/>
              <w:bottom w:val="nil"/>
              <w:right w:val="nil"/>
            </w:tcBorders>
            <w:vAlign w:val="center"/>
            <w:hideMark/>
          </w:tcPr>
          <w:p w14:paraId="6B0FCF97" w14:textId="77777777" w:rsidR="007433B1" w:rsidRPr="00F67717" w:rsidRDefault="007433B1" w:rsidP="00A256C9">
            <w:pPr>
              <w:spacing w:after="0" w:line="240" w:lineRule="auto"/>
              <w:rPr>
                <w:rFonts w:ascii="Aptos" w:eastAsia="Times New Roman" w:hAnsi="Aptos" w:cs="Arial"/>
                <w:color w:val="000000"/>
                <w:sz w:val="20"/>
                <w:szCs w:val="20"/>
              </w:rPr>
            </w:pPr>
            <w:r w:rsidRPr="00F67717">
              <w:rPr>
                <w:rFonts w:ascii="Aptos" w:eastAsia="Times New Roman" w:hAnsi="Aptos" w:cs="Arial"/>
                <w:color w:val="000000"/>
                <w:sz w:val="20"/>
                <w:szCs w:val="20"/>
              </w:rPr>
              <w:t>State Income</w:t>
            </w:r>
          </w:p>
        </w:tc>
        <w:tc>
          <w:tcPr>
            <w:tcW w:w="1660" w:type="dxa"/>
            <w:tcBorders>
              <w:top w:val="nil"/>
              <w:left w:val="nil"/>
              <w:bottom w:val="nil"/>
              <w:right w:val="single" w:sz="8" w:space="0" w:color="auto"/>
            </w:tcBorders>
            <w:vAlign w:val="center"/>
            <w:hideMark/>
          </w:tcPr>
          <w:p w14:paraId="589BD1E2" w14:textId="77777777" w:rsidR="007433B1" w:rsidRPr="00F67717" w:rsidRDefault="007433B1" w:rsidP="00A256C9">
            <w:pPr>
              <w:spacing w:after="0" w:line="240" w:lineRule="auto"/>
              <w:jc w:val="right"/>
              <w:rPr>
                <w:rFonts w:ascii="Aptos" w:eastAsia="Times New Roman" w:hAnsi="Aptos" w:cs="Arial"/>
                <w:color w:val="000000"/>
                <w:sz w:val="20"/>
                <w:szCs w:val="20"/>
              </w:rPr>
            </w:pPr>
            <w:r w:rsidRPr="00F67717">
              <w:rPr>
                <w:rFonts w:ascii="Aptos" w:eastAsia="Times New Roman" w:hAnsi="Aptos" w:cs="Arial"/>
                <w:color w:val="000000"/>
                <w:sz w:val="20"/>
                <w:szCs w:val="20"/>
              </w:rPr>
              <w:t>56,036,482</w:t>
            </w:r>
          </w:p>
        </w:tc>
      </w:tr>
      <w:tr w:rsidR="007433B1" w:rsidRPr="007433B1" w14:paraId="61A47277" w14:textId="77777777" w:rsidTr="001F09D1">
        <w:trPr>
          <w:trHeight w:val="20"/>
          <w:jc w:val="center"/>
        </w:trPr>
        <w:tc>
          <w:tcPr>
            <w:tcW w:w="3000" w:type="dxa"/>
            <w:tcBorders>
              <w:top w:val="nil"/>
              <w:left w:val="single" w:sz="8" w:space="0" w:color="auto"/>
              <w:bottom w:val="nil"/>
              <w:right w:val="nil"/>
            </w:tcBorders>
            <w:vAlign w:val="center"/>
            <w:hideMark/>
          </w:tcPr>
          <w:p w14:paraId="77F9E08F" w14:textId="77777777" w:rsidR="007433B1" w:rsidRPr="00F67717" w:rsidRDefault="007433B1" w:rsidP="00A256C9">
            <w:pPr>
              <w:spacing w:after="0" w:line="240" w:lineRule="auto"/>
              <w:rPr>
                <w:rFonts w:ascii="Aptos" w:eastAsia="Times New Roman" w:hAnsi="Aptos" w:cs="Arial"/>
                <w:color w:val="000000"/>
                <w:sz w:val="20"/>
                <w:szCs w:val="20"/>
              </w:rPr>
            </w:pPr>
            <w:r w:rsidRPr="00F67717">
              <w:rPr>
                <w:rFonts w:ascii="Aptos" w:eastAsia="Times New Roman" w:hAnsi="Aptos" w:cs="Arial"/>
                <w:color w:val="000000"/>
                <w:sz w:val="20"/>
                <w:szCs w:val="20"/>
              </w:rPr>
              <w:t>Local Income</w:t>
            </w:r>
          </w:p>
        </w:tc>
        <w:tc>
          <w:tcPr>
            <w:tcW w:w="1660" w:type="dxa"/>
            <w:tcBorders>
              <w:top w:val="nil"/>
              <w:left w:val="nil"/>
              <w:bottom w:val="nil"/>
              <w:right w:val="single" w:sz="8" w:space="0" w:color="auto"/>
            </w:tcBorders>
            <w:vAlign w:val="center"/>
            <w:hideMark/>
          </w:tcPr>
          <w:p w14:paraId="4828D5F2" w14:textId="77777777" w:rsidR="007433B1" w:rsidRPr="00F67717" w:rsidRDefault="007433B1" w:rsidP="00A256C9">
            <w:pPr>
              <w:spacing w:after="0" w:line="240" w:lineRule="auto"/>
              <w:jc w:val="right"/>
              <w:rPr>
                <w:rFonts w:ascii="Aptos" w:eastAsia="Times New Roman" w:hAnsi="Aptos" w:cs="Arial"/>
                <w:color w:val="000000"/>
                <w:sz w:val="20"/>
                <w:szCs w:val="20"/>
                <w:u w:val="single"/>
              </w:rPr>
            </w:pPr>
            <w:r w:rsidRPr="00F67717">
              <w:rPr>
                <w:rFonts w:ascii="Aptos" w:eastAsia="Times New Roman" w:hAnsi="Aptos" w:cs="Arial"/>
                <w:color w:val="000000"/>
                <w:sz w:val="20"/>
                <w:szCs w:val="20"/>
                <w:u w:val="single"/>
              </w:rPr>
              <w:t xml:space="preserve">$32,244,759 </w:t>
            </w:r>
          </w:p>
        </w:tc>
      </w:tr>
      <w:tr w:rsidR="007433B1" w:rsidRPr="007433B1" w14:paraId="299A1C31" w14:textId="77777777" w:rsidTr="001F09D1">
        <w:trPr>
          <w:trHeight w:val="20"/>
          <w:jc w:val="center"/>
        </w:trPr>
        <w:tc>
          <w:tcPr>
            <w:tcW w:w="3000" w:type="dxa"/>
            <w:tcBorders>
              <w:top w:val="nil"/>
              <w:left w:val="single" w:sz="8" w:space="0" w:color="auto"/>
              <w:bottom w:val="single" w:sz="8" w:space="0" w:color="auto"/>
              <w:right w:val="nil"/>
            </w:tcBorders>
            <w:vAlign w:val="center"/>
            <w:hideMark/>
          </w:tcPr>
          <w:p w14:paraId="7CC818FE" w14:textId="77777777" w:rsidR="007433B1" w:rsidRPr="00F67717" w:rsidRDefault="007433B1" w:rsidP="00A256C9">
            <w:pPr>
              <w:spacing w:after="0" w:line="240" w:lineRule="auto"/>
              <w:jc w:val="right"/>
              <w:rPr>
                <w:rFonts w:ascii="Aptos" w:eastAsia="Times New Roman" w:hAnsi="Aptos" w:cs="Arial"/>
                <w:color w:val="000000"/>
                <w:sz w:val="20"/>
                <w:szCs w:val="20"/>
              </w:rPr>
            </w:pPr>
            <w:r w:rsidRPr="00F67717">
              <w:rPr>
                <w:rFonts w:ascii="Aptos" w:eastAsia="Times New Roman" w:hAnsi="Aptos" w:cs="Arial"/>
                <w:color w:val="000000"/>
                <w:sz w:val="20"/>
                <w:szCs w:val="20"/>
              </w:rPr>
              <w:t>Total Revenue</w:t>
            </w:r>
          </w:p>
        </w:tc>
        <w:tc>
          <w:tcPr>
            <w:tcW w:w="1660" w:type="dxa"/>
            <w:tcBorders>
              <w:top w:val="nil"/>
              <w:left w:val="nil"/>
              <w:bottom w:val="single" w:sz="8" w:space="0" w:color="auto"/>
              <w:right w:val="single" w:sz="8" w:space="0" w:color="auto"/>
            </w:tcBorders>
            <w:noWrap/>
            <w:vAlign w:val="center"/>
            <w:hideMark/>
          </w:tcPr>
          <w:p w14:paraId="2373B958" w14:textId="77777777" w:rsidR="007433B1" w:rsidRPr="00F67717" w:rsidRDefault="007433B1" w:rsidP="00A256C9">
            <w:pPr>
              <w:spacing w:after="0" w:line="240" w:lineRule="auto"/>
              <w:jc w:val="right"/>
              <w:rPr>
                <w:rFonts w:ascii="Aptos" w:eastAsia="Times New Roman" w:hAnsi="Aptos" w:cs="Arial"/>
                <w:color w:val="000000"/>
                <w:sz w:val="20"/>
                <w:szCs w:val="20"/>
                <w:u w:val="double"/>
              </w:rPr>
            </w:pPr>
            <w:r w:rsidRPr="00F67717">
              <w:rPr>
                <w:rFonts w:ascii="Aptos" w:eastAsia="Times New Roman" w:hAnsi="Aptos" w:cs="Arial"/>
                <w:color w:val="000000"/>
                <w:sz w:val="20"/>
                <w:szCs w:val="20"/>
                <w:u w:val="double"/>
              </w:rPr>
              <w:t xml:space="preserve">$88,300,441 </w:t>
            </w:r>
          </w:p>
        </w:tc>
      </w:tr>
    </w:tbl>
    <w:p w14:paraId="44AC96EA" w14:textId="492E4C3F" w:rsidR="007433B1" w:rsidRPr="00F67717" w:rsidRDefault="0067642C" w:rsidP="001F09D1">
      <w:pPr>
        <w:pBdr>
          <w:bottom w:val="single" w:sz="4" w:space="1" w:color="auto"/>
        </w:pBdr>
        <w:spacing w:before="120" w:after="120" w:line="259" w:lineRule="auto"/>
        <w:ind w:right="5040"/>
        <w:rPr>
          <w:b/>
          <w:bCs/>
          <w:sz w:val="22"/>
          <w:szCs w:val="22"/>
        </w:rPr>
      </w:pPr>
      <w:proofErr w:type="gramStart"/>
      <w:r>
        <w:rPr>
          <w:b/>
          <w:bCs/>
          <w:sz w:val="22"/>
          <w:szCs w:val="22"/>
        </w:rPr>
        <w:t>Expenditures</w:t>
      </w:r>
      <w:proofErr w:type="gramEnd"/>
    </w:p>
    <w:p w14:paraId="2C266FF7" w14:textId="77777777" w:rsidR="007433B1" w:rsidRPr="007433B1" w:rsidRDefault="007433B1" w:rsidP="007433B1">
      <w:pPr>
        <w:spacing w:after="0" w:line="240" w:lineRule="auto"/>
        <w:contextualSpacing/>
        <w:rPr>
          <w:rFonts w:ascii="Aptos" w:hAnsi="Aptos" w:cs="Arial"/>
          <w:sz w:val="22"/>
          <w:szCs w:val="22"/>
        </w:rPr>
      </w:pPr>
      <w:bookmarkStart w:id="5" w:name="_Hlk169079832"/>
      <w:r w:rsidRPr="007433B1">
        <w:rPr>
          <w:rFonts w:ascii="Aptos" w:hAnsi="Aptos" w:cs="Arial"/>
          <w:sz w:val="22"/>
          <w:szCs w:val="22"/>
        </w:rPr>
        <w:t>The major categories of budgeted expenses include the following:</w:t>
      </w:r>
    </w:p>
    <w:bookmarkEnd w:id="5"/>
    <w:p w14:paraId="59A23237" w14:textId="77777777" w:rsidR="007433B1" w:rsidRPr="007433B1" w:rsidRDefault="007433B1" w:rsidP="007433B1">
      <w:pPr>
        <w:spacing w:after="0" w:line="240" w:lineRule="auto"/>
        <w:contextualSpacing/>
        <w:rPr>
          <w:rFonts w:ascii="Aptos" w:hAnsi="Aptos" w:cs="Arial"/>
          <w:sz w:val="22"/>
          <w:szCs w:val="22"/>
        </w:rPr>
      </w:pPr>
    </w:p>
    <w:tbl>
      <w:tblPr>
        <w:tblW w:w="5500" w:type="dxa"/>
        <w:jc w:val="center"/>
        <w:tblLook w:val="04A0" w:firstRow="1" w:lastRow="0" w:firstColumn="1" w:lastColumn="0" w:noHBand="0" w:noVBand="1"/>
      </w:tblPr>
      <w:tblGrid>
        <w:gridCol w:w="3639"/>
        <w:gridCol w:w="1861"/>
      </w:tblGrid>
      <w:tr w:rsidR="007433B1" w:rsidRPr="007433B1" w14:paraId="0503931B" w14:textId="77777777" w:rsidTr="00A256C9">
        <w:trPr>
          <w:trHeight w:val="315"/>
          <w:jc w:val="center"/>
        </w:trPr>
        <w:tc>
          <w:tcPr>
            <w:tcW w:w="5500" w:type="dxa"/>
            <w:gridSpan w:val="2"/>
            <w:tcBorders>
              <w:top w:val="single" w:sz="8" w:space="0" w:color="auto"/>
              <w:left w:val="single" w:sz="8" w:space="0" w:color="auto"/>
              <w:bottom w:val="single" w:sz="8" w:space="0" w:color="auto"/>
              <w:right w:val="single" w:sz="8" w:space="0" w:color="000000"/>
            </w:tcBorders>
            <w:shd w:val="clear" w:color="000000" w:fill="D0D0D0"/>
            <w:noWrap/>
            <w:vAlign w:val="bottom"/>
            <w:hideMark/>
          </w:tcPr>
          <w:p w14:paraId="3E6D5FDE" w14:textId="77777777" w:rsidR="007433B1" w:rsidRPr="00807D7A" w:rsidRDefault="007433B1" w:rsidP="00A256C9">
            <w:pPr>
              <w:spacing w:after="0" w:line="240" w:lineRule="auto"/>
              <w:jc w:val="center"/>
              <w:rPr>
                <w:rFonts w:ascii="Aptos" w:eastAsia="Times New Roman" w:hAnsi="Aptos"/>
                <w:b/>
                <w:bCs/>
                <w:color w:val="000000"/>
                <w:sz w:val="20"/>
                <w:szCs w:val="20"/>
              </w:rPr>
            </w:pPr>
            <w:r w:rsidRPr="00807D7A">
              <w:rPr>
                <w:rFonts w:ascii="Aptos" w:eastAsia="Times New Roman" w:hAnsi="Aptos"/>
                <w:b/>
                <w:bCs/>
                <w:color w:val="000000"/>
                <w:sz w:val="20"/>
                <w:szCs w:val="20"/>
              </w:rPr>
              <w:t>FY25-26 Budgeted Expenses</w:t>
            </w:r>
          </w:p>
        </w:tc>
      </w:tr>
      <w:tr w:rsidR="007433B1" w:rsidRPr="007433B1" w14:paraId="4233E42F" w14:textId="77777777" w:rsidTr="00A30B86">
        <w:trPr>
          <w:trHeight w:val="20"/>
          <w:jc w:val="center"/>
        </w:trPr>
        <w:tc>
          <w:tcPr>
            <w:tcW w:w="3639" w:type="dxa"/>
            <w:tcBorders>
              <w:top w:val="nil"/>
              <w:left w:val="single" w:sz="8" w:space="0" w:color="auto"/>
              <w:bottom w:val="nil"/>
              <w:right w:val="nil"/>
            </w:tcBorders>
            <w:noWrap/>
            <w:vAlign w:val="center"/>
            <w:hideMark/>
          </w:tcPr>
          <w:p w14:paraId="752F22E9" w14:textId="77777777" w:rsidR="007433B1" w:rsidRPr="00807D7A" w:rsidRDefault="007433B1" w:rsidP="00A256C9">
            <w:pPr>
              <w:spacing w:after="0" w:line="240" w:lineRule="auto"/>
              <w:rPr>
                <w:rFonts w:ascii="Aptos" w:eastAsia="Times New Roman" w:hAnsi="Aptos" w:cs="Arial"/>
                <w:color w:val="000000"/>
                <w:sz w:val="20"/>
                <w:szCs w:val="20"/>
              </w:rPr>
            </w:pPr>
            <w:bookmarkStart w:id="6" w:name="RANGE!C4"/>
            <w:r w:rsidRPr="00807D7A">
              <w:rPr>
                <w:rFonts w:ascii="Aptos" w:eastAsia="Times New Roman" w:hAnsi="Aptos" w:cs="Arial"/>
                <w:color w:val="000000"/>
                <w:sz w:val="20"/>
                <w:szCs w:val="20"/>
              </w:rPr>
              <w:t>Academic Salaries</w:t>
            </w:r>
            <w:bookmarkEnd w:id="6"/>
          </w:p>
        </w:tc>
        <w:tc>
          <w:tcPr>
            <w:tcW w:w="1861" w:type="dxa"/>
            <w:tcBorders>
              <w:top w:val="nil"/>
              <w:left w:val="nil"/>
              <w:bottom w:val="nil"/>
              <w:right w:val="single" w:sz="8" w:space="0" w:color="auto"/>
            </w:tcBorders>
            <w:noWrap/>
            <w:vAlign w:val="center"/>
            <w:hideMark/>
          </w:tcPr>
          <w:p w14:paraId="2C5B3603" w14:textId="77777777" w:rsidR="007433B1" w:rsidRPr="00807D7A" w:rsidRDefault="007433B1" w:rsidP="00A256C9">
            <w:pPr>
              <w:spacing w:after="0" w:line="240" w:lineRule="auto"/>
              <w:jc w:val="right"/>
              <w:rPr>
                <w:rFonts w:ascii="Aptos" w:eastAsia="Times New Roman" w:hAnsi="Aptos" w:cs="Arial"/>
                <w:sz w:val="20"/>
                <w:szCs w:val="20"/>
              </w:rPr>
            </w:pPr>
            <w:r w:rsidRPr="00807D7A">
              <w:rPr>
                <w:rFonts w:ascii="Aptos" w:eastAsia="Times New Roman" w:hAnsi="Aptos" w:cs="Arial"/>
                <w:sz w:val="20"/>
                <w:szCs w:val="20"/>
              </w:rPr>
              <w:t xml:space="preserve">$32,230,631 </w:t>
            </w:r>
          </w:p>
        </w:tc>
      </w:tr>
      <w:tr w:rsidR="007433B1" w:rsidRPr="007433B1" w14:paraId="52109000" w14:textId="77777777" w:rsidTr="00A30B86">
        <w:trPr>
          <w:trHeight w:val="20"/>
          <w:jc w:val="center"/>
        </w:trPr>
        <w:tc>
          <w:tcPr>
            <w:tcW w:w="3639" w:type="dxa"/>
            <w:tcBorders>
              <w:top w:val="nil"/>
              <w:left w:val="single" w:sz="8" w:space="0" w:color="auto"/>
              <w:bottom w:val="nil"/>
              <w:right w:val="nil"/>
            </w:tcBorders>
            <w:noWrap/>
            <w:vAlign w:val="center"/>
            <w:hideMark/>
          </w:tcPr>
          <w:p w14:paraId="5BC5C9C5" w14:textId="77777777" w:rsidR="007433B1" w:rsidRPr="00807D7A" w:rsidRDefault="007433B1" w:rsidP="00A256C9">
            <w:pPr>
              <w:spacing w:after="0" w:line="240" w:lineRule="auto"/>
              <w:rPr>
                <w:rFonts w:ascii="Aptos" w:eastAsia="Times New Roman" w:hAnsi="Aptos" w:cs="Arial"/>
                <w:color w:val="000000"/>
                <w:sz w:val="20"/>
                <w:szCs w:val="20"/>
              </w:rPr>
            </w:pPr>
            <w:r w:rsidRPr="00807D7A">
              <w:rPr>
                <w:rFonts w:ascii="Aptos" w:eastAsia="Times New Roman" w:hAnsi="Aptos" w:cs="Arial"/>
                <w:color w:val="000000"/>
                <w:sz w:val="20"/>
                <w:szCs w:val="20"/>
              </w:rPr>
              <w:t>Classified Salaries</w:t>
            </w:r>
          </w:p>
        </w:tc>
        <w:tc>
          <w:tcPr>
            <w:tcW w:w="1861" w:type="dxa"/>
            <w:tcBorders>
              <w:top w:val="nil"/>
              <w:left w:val="nil"/>
              <w:bottom w:val="nil"/>
              <w:right w:val="single" w:sz="8" w:space="0" w:color="auto"/>
            </w:tcBorders>
            <w:vAlign w:val="center"/>
            <w:hideMark/>
          </w:tcPr>
          <w:p w14:paraId="4DDA7D95" w14:textId="77777777" w:rsidR="007433B1" w:rsidRPr="00807D7A" w:rsidRDefault="007433B1" w:rsidP="00A256C9">
            <w:pPr>
              <w:spacing w:after="0" w:line="240" w:lineRule="auto"/>
              <w:jc w:val="right"/>
              <w:rPr>
                <w:rFonts w:ascii="Aptos" w:eastAsia="Times New Roman" w:hAnsi="Aptos" w:cs="Arial"/>
                <w:color w:val="000000"/>
                <w:sz w:val="20"/>
                <w:szCs w:val="20"/>
              </w:rPr>
            </w:pPr>
            <w:r w:rsidRPr="00807D7A">
              <w:rPr>
                <w:rFonts w:ascii="Aptos" w:eastAsia="Times New Roman" w:hAnsi="Aptos" w:cs="Arial"/>
                <w:color w:val="000000"/>
                <w:sz w:val="20"/>
                <w:szCs w:val="20"/>
              </w:rPr>
              <w:t>23,597,932</w:t>
            </w:r>
          </w:p>
        </w:tc>
      </w:tr>
      <w:tr w:rsidR="007433B1" w:rsidRPr="007433B1" w14:paraId="4220CB96" w14:textId="77777777" w:rsidTr="00A30B86">
        <w:trPr>
          <w:trHeight w:val="20"/>
          <w:jc w:val="center"/>
        </w:trPr>
        <w:tc>
          <w:tcPr>
            <w:tcW w:w="3639" w:type="dxa"/>
            <w:tcBorders>
              <w:top w:val="nil"/>
              <w:left w:val="single" w:sz="8" w:space="0" w:color="auto"/>
              <w:bottom w:val="nil"/>
              <w:right w:val="nil"/>
            </w:tcBorders>
            <w:noWrap/>
            <w:vAlign w:val="center"/>
            <w:hideMark/>
          </w:tcPr>
          <w:p w14:paraId="607125CB" w14:textId="77777777" w:rsidR="007433B1" w:rsidRPr="00807D7A" w:rsidRDefault="007433B1" w:rsidP="00A256C9">
            <w:pPr>
              <w:spacing w:after="0" w:line="240" w:lineRule="auto"/>
              <w:rPr>
                <w:rFonts w:ascii="Aptos" w:eastAsia="Times New Roman" w:hAnsi="Aptos" w:cs="Arial"/>
                <w:color w:val="000000"/>
                <w:sz w:val="20"/>
                <w:szCs w:val="20"/>
              </w:rPr>
            </w:pPr>
            <w:r w:rsidRPr="00807D7A">
              <w:rPr>
                <w:rFonts w:ascii="Aptos" w:eastAsia="Times New Roman" w:hAnsi="Aptos" w:cs="Arial"/>
                <w:color w:val="000000"/>
                <w:sz w:val="20"/>
                <w:szCs w:val="20"/>
              </w:rPr>
              <w:t>Employee Benefits</w:t>
            </w:r>
          </w:p>
        </w:tc>
        <w:tc>
          <w:tcPr>
            <w:tcW w:w="1861" w:type="dxa"/>
            <w:tcBorders>
              <w:top w:val="nil"/>
              <w:left w:val="nil"/>
              <w:bottom w:val="nil"/>
              <w:right w:val="single" w:sz="8" w:space="0" w:color="auto"/>
            </w:tcBorders>
            <w:vAlign w:val="center"/>
            <w:hideMark/>
          </w:tcPr>
          <w:p w14:paraId="6FC3B5C2" w14:textId="77777777" w:rsidR="007433B1" w:rsidRPr="00807D7A" w:rsidRDefault="007433B1" w:rsidP="00A256C9">
            <w:pPr>
              <w:spacing w:after="0" w:line="240" w:lineRule="auto"/>
              <w:jc w:val="right"/>
              <w:rPr>
                <w:rFonts w:ascii="Aptos" w:eastAsia="Times New Roman" w:hAnsi="Aptos" w:cs="Arial"/>
                <w:color w:val="000000"/>
                <w:sz w:val="20"/>
                <w:szCs w:val="20"/>
              </w:rPr>
            </w:pPr>
            <w:r w:rsidRPr="00807D7A">
              <w:rPr>
                <w:rFonts w:ascii="Aptos" w:eastAsia="Times New Roman" w:hAnsi="Aptos" w:cs="Arial"/>
                <w:color w:val="000000"/>
                <w:sz w:val="20"/>
                <w:szCs w:val="20"/>
              </w:rPr>
              <w:t>21,442,942</w:t>
            </w:r>
          </w:p>
        </w:tc>
      </w:tr>
      <w:tr w:rsidR="007433B1" w:rsidRPr="007433B1" w14:paraId="70AFE223" w14:textId="77777777" w:rsidTr="00A30B86">
        <w:trPr>
          <w:trHeight w:val="20"/>
          <w:jc w:val="center"/>
        </w:trPr>
        <w:tc>
          <w:tcPr>
            <w:tcW w:w="3639" w:type="dxa"/>
            <w:tcBorders>
              <w:top w:val="nil"/>
              <w:left w:val="single" w:sz="8" w:space="0" w:color="auto"/>
              <w:bottom w:val="nil"/>
              <w:right w:val="nil"/>
            </w:tcBorders>
            <w:noWrap/>
            <w:vAlign w:val="center"/>
            <w:hideMark/>
          </w:tcPr>
          <w:p w14:paraId="7F2F19EC" w14:textId="77777777" w:rsidR="007433B1" w:rsidRPr="00807D7A" w:rsidRDefault="007433B1" w:rsidP="00A256C9">
            <w:pPr>
              <w:spacing w:after="0" w:line="240" w:lineRule="auto"/>
              <w:rPr>
                <w:rFonts w:ascii="Aptos" w:eastAsia="Times New Roman" w:hAnsi="Aptos" w:cs="Arial"/>
                <w:color w:val="000000"/>
                <w:sz w:val="20"/>
                <w:szCs w:val="20"/>
              </w:rPr>
            </w:pPr>
            <w:r w:rsidRPr="00807D7A">
              <w:rPr>
                <w:rFonts w:ascii="Aptos" w:eastAsia="Times New Roman" w:hAnsi="Aptos" w:cs="Arial"/>
                <w:color w:val="000000"/>
                <w:sz w:val="20"/>
                <w:szCs w:val="20"/>
              </w:rPr>
              <w:t>Supplies &amp; Materials</w:t>
            </w:r>
          </w:p>
        </w:tc>
        <w:tc>
          <w:tcPr>
            <w:tcW w:w="1861" w:type="dxa"/>
            <w:tcBorders>
              <w:top w:val="nil"/>
              <w:left w:val="nil"/>
              <w:bottom w:val="nil"/>
              <w:right w:val="single" w:sz="8" w:space="0" w:color="auto"/>
            </w:tcBorders>
            <w:vAlign w:val="center"/>
            <w:hideMark/>
          </w:tcPr>
          <w:p w14:paraId="4D026A2B" w14:textId="77777777" w:rsidR="007433B1" w:rsidRPr="00807D7A" w:rsidRDefault="007433B1" w:rsidP="00A256C9">
            <w:pPr>
              <w:spacing w:after="0" w:line="240" w:lineRule="auto"/>
              <w:jc w:val="right"/>
              <w:rPr>
                <w:rFonts w:ascii="Aptos" w:eastAsia="Times New Roman" w:hAnsi="Aptos" w:cs="Arial"/>
                <w:color w:val="000000"/>
                <w:sz w:val="20"/>
                <w:szCs w:val="20"/>
              </w:rPr>
            </w:pPr>
            <w:r w:rsidRPr="00807D7A">
              <w:rPr>
                <w:rFonts w:ascii="Aptos" w:eastAsia="Times New Roman" w:hAnsi="Aptos" w:cs="Arial"/>
                <w:color w:val="000000"/>
                <w:sz w:val="20"/>
                <w:szCs w:val="20"/>
              </w:rPr>
              <w:t>1,791,301</w:t>
            </w:r>
          </w:p>
        </w:tc>
      </w:tr>
      <w:tr w:rsidR="007433B1" w:rsidRPr="007433B1" w14:paraId="50AEA69C" w14:textId="77777777" w:rsidTr="00A30B86">
        <w:trPr>
          <w:trHeight w:val="20"/>
          <w:jc w:val="center"/>
        </w:trPr>
        <w:tc>
          <w:tcPr>
            <w:tcW w:w="3639" w:type="dxa"/>
            <w:tcBorders>
              <w:top w:val="nil"/>
              <w:left w:val="single" w:sz="8" w:space="0" w:color="auto"/>
              <w:bottom w:val="nil"/>
              <w:right w:val="nil"/>
            </w:tcBorders>
            <w:noWrap/>
            <w:vAlign w:val="center"/>
            <w:hideMark/>
          </w:tcPr>
          <w:p w14:paraId="268355D9" w14:textId="77777777" w:rsidR="007433B1" w:rsidRPr="00807D7A" w:rsidRDefault="007433B1" w:rsidP="00A256C9">
            <w:pPr>
              <w:spacing w:after="0" w:line="240" w:lineRule="auto"/>
              <w:rPr>
                <w:rFonts w:ascii="Aptos" w:eastAsia="Times New Roman" w:hAnsi="Aptos" w:cs="Arial"/>
                <w:color w:val="000000"/>
                <w:sz w:val="20"/>
                <w:szCs w:val="20"/>
              </w:rPr>
            </w:pPr>
            <w:r w:rsidRPr="00807D7A">
              <w:rPr>
                <w:rFonts w:ascii="Aptos" w:eastAsia="Times New Roman" w:hAnsi="Aptos" w:cs="Arial"/>
                <w:color w:val="000000"/>
                <w:sz w:val="20"/>
                <w:szCs w:val="20"/>
              </w:rPr>
              <w:t>Other Operating Exp &amp; Services</w:t>
            </w:r>
          </w:p>
        </w:tc>
        <w:tc>
          <w:tcPr>
            <w:tcW w:w="1861" w:type="dxa"/>
            <w:tcBorders>
              <w:top w:val="nil"/>
              <w:left w:val="nil"/>
              <w:bottom w:val="nil"/>
              <w:right w:val="single" w:sz="8" w:space="0" w:color="auto"/>
            </w:tcBorders>
            <w:vAlign w:val="center"/>
            <w:hideMark/>
          </w:tcPr>
          <w:p w14:paraId="1781267F" w14:textId="77777777" w:rsidR="007433B1" w:rsidRPr="00807D7A" w:rsidRDefault="007433B1" w:rsidP="00A256C9">
            <w:pPr>
              <w:spacing w:after="0" w:line="240" w:lineRule="auto"/>
              <w:jc w:val="right"/>
              <w:rPr>
                <w:rFonts w:ascii="Aptos" w:eastAsia="Times New Roman" w:hAnsi="Aptos" w:cs="Arial"/>
                <w:color w:val="000000"/>
                <w:sz w:val="20"/>
                <w:szCs w:val="20"/>
              </w:rPr>
            </w:pPr>
            <w:r w:rsidRPr="00807D7A">
              <w:rPr>
                <w:rFonts w:ascii="Aptos" w:eastAsia="Times New Roman" w:hAnsi="Aptos" w:cs="Arial"/>
                <w:color w:val="000000"/>
                <w:sz w:val="20"/>
                <w:szCs w:val="20"/>
              </w:rPr>
              <w:t>9,926,014</w:t>
            </w:r>
          </w:p>
        </w:tc>
      </w:tr>
      <w:tr w:rsidR="007433B1" w:rsidRPr="007433B1" w14:paraId="09DCD224" w14:textId="77777777" w:rsidTr="00A30B86">
        <w:trPr>
          <w:trHeight w:val="20"/>
          <w:jc w:val="center"/>
        </w:trPr>
        <w:tc>
          <w:tcPr>
            <w:tcW w:w="3639" w:type="dxa"/>
            <w:tcBorders>
              <w:top w:val="nil"/>
              <w:left w:val="single" w:sz="8" w:space="0" w:color="auto"/>
              <w:bottom w:val="nil"/>
              <w:right w:val="nil"/>
            </w:tcBorders>
            <w:noWrap/>
            <w:vAlign w:val="center"/>
            <w:hideMark/>
          </w:tcPr>
          <w:p w14:paraId="573A8BA8" w14:textId="77777777" w:rsidR="007433B1" w:rsidRPr="00807D7A" w:rsidRDefault="007433B1" w:rsidP="00A256C9">
            <w:pPr>
              <w:spacing w:after="0" w:line="240" w:lineRule="auto"/>
              <w:rPr>
                <w:rFonts w:ascii="Aptos" w:eastAsia="Times New Roman" w:hAnsi="Aptos" w:cs="Arial"/>
                <w:color w:val="000000"/>
                <w:sz w:val="20"/>
                <w:szCs w:val="20"/>
              </w:rPr>
            </w:pPr>
            <w:r w:rsidRPr="00807D7A">
              <w:rPr>
                <w:rFonts w:ascii="Aptos" w:eastAsia="Times New Roman" w:hAnsi="Aptos" w:cs="Arial"/>
                <w:color w:val="000000"/>
                <w:sz w:val="20"/>
                <w:szCs w:val="20"/>
              </w:rPr>
              <w:t>Capital Outlay</w:t>
            </w:r>
          </w:p>
        </w:tc>
        <w:tc>
          <w:tcPr>
            <w:tcW w:w="1861" w:type="dxa"/>
            <w:tcBorders>
              <w:top w:val="nil"/>
              <w:left w:val="nil"/>
              <w:bottom w:val="nil"/>
              <w:right w:val="single" w:sz="8" w:space="0" w:color="auto"/>
            </w:tcBorders>
            <w:noWrap/>
            <w:vAlign w:val="center"/>
            <w:hideMark/>
          </w:tcPr>
          <w:p w14:paraId="7C0C95D4" w14:textId="77777777" w:rsidR="007433B1" w:rsidRPr="00807D7A" w:rsidRDefault="007433B1" w:rsidP="00A256C9">
            <w:pPr>
              <w:spacing w:after="0" w:line="240" w:lineRule="auto"/>
              <w:jc w:val="right"/>
              <w:rPr>
                <w:rFonts w:ascii="Aptos" w:eastAsia="Times New Roman" w:hAnsi="Aptos" w:cs="Arial"/>
                <w:sz w:val="20"/>
                <w:szCs w:val="20"/>
                <w:u w:val="single"/>
              </w:rPr>
            </w:pPr>
            <w:r w:rsidRPr="00807D7A">
              <w:rPr>
                <w:rFonts w:ascii="Aptos" w:eastAsia="Times New Roman" w:hAnsi="Aptos" w:cs="Arial"/>
                <w:sz w:val="20"/>
                <w:szCs w:val="20"/>
                <w:u w:val="single"/>
              </w:rPr>
              <w:t xml:space="preserve">$708,744 </w:t>
            </w:r>
          </w:p>
        </w:tc>
      </w:tr>
      <w:tr w:rsidR="007433B1" w:rsidRPr="007433B1" w14:paraId="75E3EE64" w14:textId="77777777" w:rsidTr="00A30B86">
        <w:trPr>
          <w:trHeight w:val="20"/>
          <w:jc w:val="center"/>
        </w:trPr>
        <w:tc>
          <w:tcPr>
            <w:tcW w:w="3639" w:type="dxa"/>
            <w:tcBorders>
              <w:top w:val="nil"/>
              <w:left w:val="single" w:sz="8" w:space="0" w:color="auto"/>
              <w:bottom w:val="single" w:sz="8" w:space="0" w:color="auto"/>
              <w:right w:val="nil"/>
            </w:tcBorders>
            <w:noWrap/>
            <w:vAlign w:val="center"/>
            <w:hideMark/>
          </w:tcPr>
          <w:p w14:paraId="777666BF" w14:textId="77777777" w:rsidR="007433B1" w:rsidRPr="00807D7A" w:rsidRDefault="007433B1" w:rsidP="00A256C9">
            <w:pPr>
              <w:spacing w:after="0" w:line="240" w:lineRule="auto"/>
              <w:jc w:val="right"/>
              <w:rPr>
                <w:rFonts w:ascii="Aptos" w:eastAsia="Times New Roman" w:hAnsi="Aptos" w:cs="Arial"/>
                <w:color w:val="000000"/>
                <w:sz w:val="20"/>
                <w:szCs w:val="20"/>
              </w:rPr>
            </w:pPr>
            <w:r w:rsidRPr="00807D7A">
              <w:rPr>
                <w:rFonts w:ascii="Aptos" w:eastAsia="Times New Roman" w:hAnsi="Aptos" w:cs="Arial"/>
                <w:color w:val="000000"/>
                <w:sz w:val="20"/>
                <w:szCs w:val="20"/>
              </w:rPr>
              <w:t>Total expenses</w:t>
            </w:r>
          </w:p>
        </w:tc>
        <w:tc>
          <w:tcPr>
            <w:tcW w:w="1861" w:type="dxa"/>
            <w:tcBorders>
              <w:top w:val="nil"/>
              <w:left w:val="nil"/>
              <w:bottom w:val="single" w:sz="8" w:space="0" w:color="auto"/>
              <w:right w:val="single" w:sz="8" w:space="0" w:color="auto"/>
            </w:tcBorders>
            <w:noWrap/>
            <w:vAlign w:val="center"/>
            <w:hideMark/>
          </w:tcPr>
          <w:p w14:paraId="1450AC05" w14:textId="77777777" w:rsidR="007433B1" w:rsidRPr="00807D7A" w:rsidRDefault="007433B1" w:rsidP="00A256C9">
            <w:pPr>
              <w:spacing w:after="0" w:line="240" w:lineRule="auto"/>
              <w:jc w:val="right"/>
              <w:rPr>
                <w:rFonts w:ascii="Aptos" w:eastAsia="Times New Roman" w:hAnsi="Aptos" w:cs="Arial"/>
                <w:color w:val="000000"/>
                <w:sz w:val="20"/>
                <w:szCs w:val="20"/>
                <w:u w:val="double"/>
              </w:rPr>
            </w:pPr>
            <w:r w:rsidRPr="00807D7A">
              <w:rPr>
                <w:rFonts w:ascii="Aptos" w:eastAsia="Times New Roman" w:hAnsi="Aptos" w:cs="Arial"/>
                <w:color w:val="000000"/>
                <w:sz w:val="20"/>
                <w:szCs w:val="20"/>
                <w:u w:val="double"/>
              </w:rPr>
              <w:t xml:space="preserve">$89,697,564 </w:t>
            </w:r>
          </w:p>
        </w:tc>
      </w:tr>
    </w:tbl>
    <w:p w14:paraId="021DD73A" w14:textId="64432B4E" w:rsidR="007433B1" w:rsidRPr="00F67717" w:rsidRDefault="0067642C" w:rsidP="001F09D1">
      <w:pPr>
        <w:pBdr>
          <w:bottom w:val="single" w:sz="4" w:space="1" w:color="auto"/>
        </w:pBdr>
        <w:spacing w:before="120" w:after="120" w:line="259" w:lineRule="auto"/>
        <w:ind w:right="5040"/>
        <w:rPr>
          <w:b/>
          <w:bCs/>
          <w:sz w:val="22"/>
          <w:szCs w:val="22"/>
        </w:rPr>
      </w:pPr>
      <w:r>
        <w:rPr>
          <w:b/>
          <w:bCs/>
          <w:sz w:val="22"/>
          <w:szCs w:val="22"/>
        </w:rPr>
        <w:t>General Fund – Unrestricted Reserves</w:t>
      </w:r>
    </w:p>
    <w:p w14:paraId="38949349" w14:textId="2DA72ADB" w:rsidR="007433B1" w:rsidRPr="007433B1" w:rsidRDefault="007433B1" w:rsidP="006D319D">
      <w:pPr>
        <w:autoSpaceDE w:val="0"/>
        <w:autoSpaceDN w:val="0"/>
        <w:adjustRightInd w:val="0"/>
        <w:spacing w:after="120" w:line="240" w:lineRule="auto"/>
        <w:rPr>
          <w:rFonts w:ascii="Aptos" w:hAnsi="Aptos" w:cs="Arial"/>
          <w:sz w:val="22"/>
          <w:szCs w:val="22"/>
        </w:rPr>
      </w:pPr>
      <w:r w:rsidRPr="007433B1">
        <w:rPr>
          <w:rFonts w:ascii="Aptos" w:hAnsi="Aptos" w:cs="Arial"/>
          <w:sz w:val="22"/>
          <w:szCs w:val="22"/>
        </w:rPr>
        <w:t>The following table provides details on reserve accounts.</w:t>
      </w:r>
    </w:p>
    <w:tbl>
      <w:tblPr>
        <w:tblW w:w="8840" w:type="dxa"/>
        <w:jc w:val="center"/>
        <w:tblLook w:val="04A0" w:firstRow="1" w:lastRow="0" w:firstColumn="1" w:lastColumn="0" w:noHBand="0" w:noVBand="1"/>
      </w:tblPr>
      <w:tblGrid>
        <w:gridCol w:w="976"/>
        <w:gridCol w:w="3720"/>
        <w:gridCol w:w="2943"/>
        <w:gridCol w:w="1236"/>
      </w:tblGrid>
      <w:tr w:rsidR="007433B1" w:rsidRPr="007433B1" w14:paraId="43347BC0" w14:textId="77777777" w:rsidTr="00A256C9">
        <w:trPr>
          <w:trHeight w:val="315"/>
          <w:jc w:val="center"/>
        </w:trPr>
        <w:tc>
          <w:tcPr>
            <w:tcW w:w="8840" w:type="dxa"/>
            <w:gridSpan w:val="4"/>
            <w:tcBorders>
              <w:top w:val="single" w:sz="8" w:space="0" w:color="auto"/>
              <w:left w:val="single" w:sz="8" w:space="0" w:color="000000"/>
              <w:bottom w:val="nil"/>
              <w:right w:val="single" w:sz="8" w:space="0" w:color="000000"/>
            </w:tcBorders>
            <w:shd w:val="clear" w:color="000000" w:fill="ADADAD"/>
            <w:noWrap/>
            <w:vAlign w:val="center"/>
            <w:hideMark/>
          </w:tcPr>
          <w:p w14:paraId="36E325F8" w14:textId="77777777" w:rsidR="007433B1" w:rsidRPr="000A4369" w:rsidRDefault="007433B1" w:rsidP="00A256C9">
            <w:pPr>
              <w:spacing w:after="0" w:line="240" w:lineRule="auto"/>
              <w:jc w:val="center"/>
              <w:rPr>
                <w:rFonts w:ascii="Aptos" w:eastAsia="Times New Roman" w:hAnsi="Aptos" w:cs="Arial"/>
                <w:b/>
                <w:bCs/>
                <w:color w:val="000000"/>
                <w:sz w:val="20"/>
                <w:szCs w:val="20"/>
              </w:rPr>
            </w:pPr>
            <w:r w:rsidRPr="000A4369">
              <w:rPr>
                <w:rFonts w:ascii="Aptos" w:eastAsia="Times New Roman" w:hAnsi="Aptos" w:cs="Arial"/>
                <w:b/>
                <w:bCs/>
                <w:color w:val="000000"/>
                <w:sz w:val="20"/>
                <w:szCs w:val="20"/>
              </w:rPr>
              <w:t>One Time Funds</w:t>
            </w:r>
          </w:p>
        </w:tc>
      </w:tr>
      <w:tr w:rsidR="007433B1" w:rsidRPr="007433B1" w14:paraId="009A62A1" w14:textId="77777777" w:rsidTr="00A256C9">
        <w:trPr>
          <w:trHeight w:val="315"/>
          <w:jc w:val="center"/>
        </w:trPr>
        <w:tc>
          <w:tcPr>
            <w:tcW w:w="941" w:type="dxa"/>
            <w:tcBorders>
              <w:top w:val="single" w:sz="8" w:space="0" w:color="000000"/>
              <w:left w:val="single" w:sz="8" w:space="0" w:color="000000"/>
              <w:bottom w:val="single" w:sz="8" w:space="0" w:color="auto"/>
              <w:right w:val="nil"/>
            </w:tcBorders>
            <w:shd w:val="clear" w:color="000000" w:fill="F2F2F2"/>
            <w:noWrap/>
            <w:vAlign w:val="center"/>
            <w:hideMark/>
          </w:tcPr>
          <w:p w14:paraId="4F7C5ABA" w14:textId="77777777" w:rsidR="007433B1" w:rsidRPr="000A4369" w:rsidRDefault="007433B1" w:rsidP="00A256C9">
            <w:pPr>
              <w:spacing w:after="0" w:line="240" w:lineRule="auto"/>
              <w:jc w:val="center"/>
              <w:rPr>
                <w:rFonts w:ascii="Aptos" w:eastAsia="Times New Roman" w:hAnsi="Aptos" w:cs="Arial"/>
                <w:b/>
                <w:bCs/>
                <w:color w:val="000000"/>
                <w:sz w:val="20"/>
                <w:szCs w:val="20"/>
              </w:rPr>
            </w:pPr>
            <w:r w:rsidRPr="000A4369">
              <w:rPr>
                <w:rFonts w:ascii="Aptos" w:eastAsia="Times New Roman" w:hAnsi="Aptos" w:cs="Arial"/>
                <w:b/>
                <w:bCs/>
                <w:color w:val="000000"/>
                <w:sz w:val="20"/>
                <w:szCs w:val="20"/>
              </w:rPr>
              <w:t>Account</w:t>
            </w:r>
          </w:p>
        </w:tc>
        <w:tc>
          <w:tcPr>
            <w:tcW w:w="3720" w:type="dxa"/>
            <w:tcBorders>
              <w:top w:val="single" w:sz="8" w:space="0" w:color="000000"/>
              <w:left w:val="nil"/>
              <w:bottom w:val="single" w:sz="8" w:space="0" w:color="auto"/>
              <w:right w:val="nil"/>
            </w:tcBorders>
            <w:shd w:val="clear" w:color="000000" w:fill="F2F2F2"/>
            <w:noWrap/>
            <w:vAlign w:val="center"/>
            <w:hideMark/>
          </w:tcPr>
          <w:p w14:paraId="70B17393" w14:textId="77777777" w:rsidR="007433B1" w:rsidRPr="000A4369" w:rsidRDefault="007433B1" w:rsidP="00A256C9">
            <w:pPr>
              <w:spacing w:after="0" w:line="240" w:lineRule="auto"/>
              <w:jc w:val="center"/>
              <w:rPr>
                <w:rFonts w:ascii="Aptos" w:eastAsia="Times New Roman" w:hAnsi="Aptos" w:cs="Arial"/>
                <w:b/>
                <w:bCs/>
                <w:color w:val="000000"/>
                <w:sz w:val="20"/>
                <w:szCs w:val="20"/>
              </w:rPr>
            </w:pPr>
            <w:r w:rsidRPr="000A4369">
              <w:rPr>
                <w:rFonts w:ascii="Aptos" w:eastAsia="Times New Roman" w:hAnsi="Aptos" w:cs="Arial"/>
                <w:b/>
                <w:bCs/>
                <w:color w:val="000000"/>
                <w:sz w:val="20"/>
                <w:szCs w:val="20"/>
              </w:rPr>
              <w:t>Account Title</w:t>
            </w:r>
          </w:p>
        </w:tc>
        <w:tc>
          <w:tcPr>
            <w:tcW w:w="2943" w:type="dxa"/>
            <w:tcBorders>
              <w:top w:val="single" w:sz="8" w:space="0" w:color="000000"/>
              <w:left w:val="nil"/>
              <w:bottom w:val="single" w:sz="8" w:space="0" w:color="auto"/>
              <w:right w:val="nil"/>
            </w:tcBorders>
            <w:shd w:val="clear" w:color="000000" w:fill="F2F2F2"/>
            <w:noWrap/>
            <w:vAlign w:val="center"/>
            <w:hideMark/>
          </w:tcPr>
          <w:p w14:paraId="62ABBEB8" w14:textId="77777777" w:rsidR="007433B1" w:rsidRPr="000A4369" w:rsidRDefault="007433B1" w:rsidP="00A256C9">
            <w:pPr>
              <w:spacing w:after="0" w:line="240" w:lineRule="auto"/>
              <w:jc w:val="center"/>
              <w:rPr>
                <w:rFonts w:ascii="Aptos" w:eastAsia="Times New Roman" w:hAnsi="Aptos" w:cs="Arial"/>
                <w:b/>
                <w:bCs/>
                <w:color w:val="000000"/>
                <w:sz w:val="20"/>
                <w:szCs w:val="20"/>
              </w:rPr>
            </w:pPr>
            <w:r w:rsidRPr="000A4369">
              <w:rPr>
                <w:rFonts w:ascii="Aptos" w:eastAsia="Times New Roman" w:hAnsi="Aptos" w:cs="Arial"/>
                <w:b/>
                <w:bCs/>
                <w:color w:val="000000"/>
                <w:sz w:val="20"/>
                <w:szCs w:val="20"/>
              </w:rPr>
              <w:t>Program Title</w:t>
            </w:r>
          </w:p>
        </w:tc>
        <w:tc>
          <w:tcPr>
            <w:tcW w:w="1236" w:type="dxa"/>
            <w:tcBorders>
              <w:top w:val="single" w:sz="8" w:space="0" w:color="000000"/>
              <w:left w:val="nil"/>
              <w:bottom w:val="single" w:sz="8" w:space="0" w:color="auto"/>
              <w:right w:val="single" w:sz="8" w:space="0" w:color="000000"/>
            </w:tcBorders>
            <w:shd w:val="clear" w:color="000000" w:fill="F2F2F2"/>
            <w:vAlign w:val="center"/>
            <w:hideMark/>
          </w:tcPr>
          <w:p w14:paraId="71C07D78" w14:textId="77777777" w:rsidR="007433B1" w:rsidRPr="000A4369" w:rsidRDefault="007433B1" w:rsidP="00A256C9">
            <w:pPr>
              <w:spacing w:after="0" w:line="240" w:lineRule="auto"/>
              <w:jc w:val="center"/>
              <w:rPr>
                <w:rFonts w:ascii="Aptos" w:eastAsia="Times New Roman" w:hAnsi="Aptos" w:cs="Arial"/>
                <w:b/>
                <w:bCs/>
                <w:color w:val="000000"/>
                <w:sz w:val="20"/>
                <w:szCs w:val="20"/>
              </w:rPr>
            </w:pPr>
            <w:r w:rsidRPr="000A4369">
              <w:rPr>
                <w:rFonts w:ascii="Aptos" w:eastAsia="Times New Roman" w:hAnsi="Aptos" w:cs="Arial"/>
                <w:b/>
                <w:bCs/>
                <w:color w:val="000000"/>
                <w:sz w:val="20"/>
                <w:szCs w:val="20"/>
              </w:rPr>
              <w:t>Budget</w:t>
            </w:r>
          </w:p>
        </w:tc>
      </w:tr>
      <w:tr w:rsidR="007433B1" w:rsidRPr="007433B1" w14:paraId="5EC03954" w14:textId="77777777" w:rsidTr="00A30B86">
        <w:trPr>
          <w:trHeight w:val="288"/>
          <w:jc w:val="center"/>
        </w:trPr>
        <w:tc>
          <w:tcPr>
            <w:tcW w:w="941" w:type="dxa"/>
            <w:tcBorders>
              <w:top w:val="nil"/>
              <w:left w:val="single" w:sz="8" w:space="0" w:color="auto"/>
              <w:bottom w:val="nil"/>
              <w:right w:val="nil"/>
            </w:tcBorders>
            <w:noWrap/>
            <w:vAlign w:val="center"/>
            <w:hideMark/>
          </w:tcPr>
          <w:p w14:paraId="3DC65BAF" w14:textId="77777777" w:rsidR="007433B1" w:rsidRPr="000A4369" w:rsidRDefault="007433B1" w:rsidP="00A256C9">
            <w:pPr>
              <w:spacing w:after="0" w:line="240" w:lineRule="auto"/>
              <w:jc w:val="center"/>
              <w:rPr>
                <w:rFonts w:ascii="Aptos" w:eastAsia="Times New Roman" w:hAnsi="Aptos" w:cs="Arial"/>
                <w:color w:val="000000"/>
                <w:sz w:val="20"/>
                <w:szCs w:val="20"/>
              </w:rPr>
            </w:pPr>
            <w:r w:rsidRPr="000A4369">
              <w:rPr>
                <w:rFonts w:ascii="Aptos" w:eastAsia="Times New Roman" w:hAnsi="Aptos" w:cs="Arial"/>
                <w:color w:val="000000"/>
                <w:sz w:val="20"/>
                <w:szCs w:val="20"/>
              </w:rPr>
              <w:t>799100</w:t>
            </w:r>
          </w:p>
        </w:tc>
        <w:tc>
          <w:tcPr>
            <w:tcW w:w="3720" w:type="dxa"/>
            <w:tcBorders>
              <w:top w:val="nil"/>
              <w:left w:val="nil"/>
              <w:bottom w:val="nil"/>
              <w:right w:val="nil"/>
            </w:tcBorders>
            <w:noWrap/>
            <w:vAlign w:val="center"/>
            <w:hideMark/>
          </w:tcPr>
          <w:p w14:paraId="7DB80DF5" w14:textId="77777777" w:rsidR="007433B1" w:rsidRPr="000A4369" w:rsidRDefault="007433B1" w:rsidP="00A256C9">
            <w:pPr>
              <w:spacing w:after="0" w:line="240" w:lineRule="auto"/>
              <w:rPr>
                <w:rFonts w:ascii="Aptos" w:eastAsia="Times New Roman" w:hAnsi="Aptos" w:cs="Arial"/>
                <w:color w:val="000000"/>
                <w:sz w:val="20"/>
                <w:szCs w:val="20"/>
              </w:rPr>
            </w:pPr>
            <w:r w:rsidRPr="000A4369">
              <w:rPr>
                <w:rFonts w:ascii="Aptos" w:eastAsia="Times New Roman" w:hAnsi="Aptos" w:cs="Arial"/>
                <w:color w:val="000000"/>
                <w:sz w:val="20"/>
                <w:szCs w:val="20"/>
              </w:rPr>
              <w:t>Reserve for Reallocation</w:t>
            </w:r>
          </w:p>
        </w:tc>
        <w:tc>
          <w:tcPr>
            <w:tcW w:w="2943" w:type="dxa"/>
            <w:tcBorders>
              <w:top w:val="nil"/>
              <w:left w:val="nil"/>
              <w:bottom w:val="nil"/>
              <w:right w:val="nil"/>
            </w:tcBorders>
            <w:noWrap/>
            <w:vAlign w:val="center"/>
            <w:hideMark/>
          </w:tcPr>
          <w:p w14:paraId="18FC5CF4" w14:textId="77777777" w:rsidR="007433B1" w:rsidRPr="000A4369" w:rsidRDefault="007433B1" w:rsidP="00A256C9">
            <w:pPr>
              <w:spacing w:after="0" w:line="240" w:lineRule="auto"/>
              <w:rPr>
                <w:rFonts w:ascii="Aptos" w:eastAsia="Times New Roman" w:hAnsi="Aptos" w:cs="Arial"/>
                <w:color w:val="000000"/>
                <w:sz w:val="20"/>
                <w:szCs w:val="20"/>
              </w:rPr>
            </w:pPr>
            <w:r w:rsidRPr="000A4369">
              <w:rPr>
                <w:rFonts w:ascii="Aptos" w:eastAsia="Times New Roman" w:hAnsi="Aptos" w:cs="Arial"/>
                <w:color w:val="000000"/>
                <w:sz w:val="20"/>
                <w:szCs w:val="20"/>
              </w:rPr>
              <w:t>President's One Time Reserves</w:t>
            </w:r>
          </w:p>
        </w:tc>
        <w:tc>
          <w:tcPr>
            <w:tcW w:w="1236" w:type="dxa"/>
            <w:tcBorders>
              <w:top w:val="nil"/>
              <w:left w:val="nil"/>
              <w:bottom w:val="nil"/>
              <w:right w:val="single" w:sz="8" w:space="0" w:color="auto"/>
            </w:tcBorders>
            <w:noWrap/>
            <w:vAlign w:val="center"/>
            <w:hideMark/>
          </w:tcPr>
          <w:p w14:paraId="2486B450" w14:textId="77777777" w:rsidR="007433B1" w:rsidRPr="000A4369" w:rsidRDefault="007433B1" w:rsidP="00A256C9">
            <w:pPr>
              <w:spacing w:after="0" w:line="240" w:lineRule="auto"/>
              <w:jc w:val="right"/>
              <w:rPr>
                <w:rFonts w:ascii="Aptos" w:eastAsia="Times New Roman" w:hAnsi="Aptos" w:cs="Arial"/>
                <w:color w:val="000000"/>
                <w:sz w:val="20"/>
                <w:szCs w:val="20"/>
              </w:rPr>
            </w:pPr>
            <w:r w:rsidRPr="000A4369">
              <w:rPr>
                <w:rFonts w:ascii="Aptos" w:eastAsia="Times New Roman" w:hAnsi="Aptos" w:cs="Arial"/>
                <w:color w:val="000000"/>
                <w:sz w:val="20"/>
                <w:szCs w:val="20"/>
              </w:rPr>
              <w:t xml:space="preserve">$300,000 </w:t>
            </w:r>
          </w:p>
        </w:tc>
      </w:tr>
      <w:tr w:rsidR="007433B1" w:rsidRPr="007433B1" w14:paraId="0032A3FB" w14:textId="77777777" w:rsidTr="00A30B86">
        <w:trPr>
          <w:trHeight w:val="288"/>
          <w:jc w:val="center"/>
        </w:trPr>
        <w:tc>
          <w:tcPr>
            <w:tcW w:w="941" w:type="dxa"/>
            <w:tcBorders>
              <w:top w:val="nil"/>
              <w:left w:val="single" w:sz="8" w:space="0" w:color="auto"/>
              <w:bottom w:val="nil"/>
              <w:right w:val="nil"/>
            </w:tcBorders>
            <w:noWrap/>
            <w:vAlign w:val="center"/>
            <w:hideMark/>
          </w:tcPr>
          <w:p w14:paraId="0F64244F" w14:textId="77777777" w:rsidR="007433B1" w:rsidRPr="000A4369" w:rsidRDefault="007433B1" w:rsidP="00A256C9">
            <w:pPr>
              <w:spacing w:after="0" w:line="240" w:lineRule="auto"/>
              <w:jc w:val="center"/>
              <w:rPr>
                <w:rFonts w:ascii="Aptos" w:eastAsia="Times New Roman" w:hAnsi="Aptos" w:cs="Arial"/>
                <w:color w:val="000000"/>
                <w:sz w:val="20"/>
                <w:szCs w:val="20"/>
              </w:rPr>
            </w:pPr>
            <w:r w:rsidRPr="000A4369">
              <w:rPr>
                <w:rFonts w:ascii="Aptos" w:eastAsia="Times New Roman" w:hAnsi="Aptos" w:cs="Arial"/>
                <w:color w:val="000000"/>
                <w:sz w:val="20"/>
                <w:szCs w:val="20"/>
              </w:rPr>
              <w:t>792200</w:t>
            </w:r>
          </w:p>
        </w:tc>
        <w:tc>
          <w:tcPr>
            <w:tcW w:w="3720" w:type="dxa"/>
            <w:tcBorders>
              <w:top w:val="nil"/>
              <w:left w:val="nil"/>
              <w:bottom w:val="nil"/>
              <w:right w:val="nil"/>
            </w:tcBorders>
            <w:noWrap/>
            <w:vAlign w:val="center"/>
            <w:hideMark/>
          </w:tcPr>
          <w:p w14:paraId="0FD1A78B" w14:textId="77777777" w:rsidR="007433B1" w:rsidRPr="000A4369" w:rsidRDefault="007433B1" w:rsidP="00A256C9">
            <w:pPr>
              <w:spacing w:after="0" w:line="240" w:lineRule="auto"/>
              <w:rPr>
                <w:rFonts w:ascii="Aptos" w:eastAsia="Times New Roman" w:hAnsi="Aptos" w:cs="Arial"/>
                <w:color w:val="000000"/>
                <w:sz w:val="20"/>
                <w:szCs w:val="20"/>
              </w:rPr>
            </w:pPr>
            <w:r w:rsidRPr="000A4369">
              <w:rPr>
                <w:rFonts w:ascii="Aptos" w:eastAsia="Times New Roman" w:hAnsi="Aptos" w:cs="Arial"/>
                <w:color w:val="000000"/>
                <w:sz w:val="20"/>
                <w:szCs w:val="20"/>
              </w:rPr>
              <w:t>Restricted Reserve-Other</w:t>
            </w:r>
          </w:p>
        </w:tc>
        <w:tc>
          <w:tcPr>
            <w:tcW w:w="2943" w:type="dxa"/>
            <w:tcBorders>
              <w:top w:val="nil"/>
              <w:left w:val="nil"/>
              <w:bottom w:val="nil"/>
              <w:right w:val="nil"/>
            </w:tcBorders>
            <w:noWrap/>
            <w:vAlign w:val="center"/>
            <w:hideMark/>
          </w:tcPr>
          <w:p w14:paraId="791545DA" w14:textId="77777777" w:rsidR="007433B1" w:rsidRPr="000A4369" w:rsidRDefault="007433B1" w:rsidP="00A256C9">
            <w:pPr>
              <w:spacing w:after="0" w:line="240" w:lineRule="auto"/>
              <w:rPr>
                <w:rFonts w:ascii="Aptos" w:eastAsia="Times New Roman" w:hAnsi="Aptos" w:cs="Arial"/>
                <w:color w:val="000000"/>
                <w:sz w:val="20"/>
                <w:szCs w:val="20"/>
              </w:rPr>
            </w:pPr>
            <w:r w:rsidRPr="000A4369">
              <w:rPr>
                <w:rFonts w:ascii="Aptos" w:eastAsia="Times New Roman" w:hAnsi="Aptos" w:cs="Arial"/>
                <w:color w:val="000000"/>
                <w:sz w:val="20"/>
                <w:szCs w:val="20"/>
              </w:rPr>
              <w:t>Mandate Funds Reserve</w:t>
            </w:r>
          </w:p>
        </w:tc>
        <w:tc>
          <w:tcPr>
            <w:tcW w:w="1236" w:type="dxa"/>
            <w:tcBorders>
              <w:top w:val="nil"/>
              <w:left w:val="nil"/>
              <w:bottom w:val="nil"/>
              <w:right w:val="single" w:sz="8" w:space="0" w:color="auto"/>
            </w:tcBorders>
            <w:noWrap/>
            <w:vAlign w:val="center"/>
            <w:hideMark/>
          </w:tcPr>
          <w:p w14:paraId="4025AB8A" w14:textId="77777777" w:rsidR="007433B1" w:rsidRPr="000A4369" w:rsidRDefault="007433B1" w:rsidP="00A256C9">
            <w:pPr>
              <w:spacing w:after="0" w:line="240" w:lineRule="auto"/>
              <w:jc w:val="right"/>
              <w:rPr>
                <w:rFonts w:ascii="Aptos" w:eastAsia="Times New Roman" w:hAnsi="Aptos" w:cs="Arial"/>
                <w:color w:val="000000"/>
                <w:sz w:val="20"/>
                <w:szCs w:val="20"/>
              </w:rPr>
            </w:pPr>
            <w:r w:rsidRPr="000A4369">
              <w:rPr>
                <w:rFonts w:ascii="Aptos" w:eastAsia="Times New Roman" w:hAnsi="Aptos" w:cs="Arial"/>
                <w:color w:val="000000"/>
                <w:sz w:val="20"/>
                <w:szCs w:val="20"/>
              </w:rPr>
              <w:t>850,966</w:t>
            </w:r>
          </w:p>
        </w:tc>
      </w:tr>
      <w:tr w:rsidR="007433B1" w:rsidRPr="007433B1" w14:paraId="59F25C46" w14:textId="77777777" w:rsidTr="00A30B86">
        <w:trPr>
          <w:trHeight w:val="288"/>
          <w:jc w:val="center"/>
        </w:trPr>
        <w:tc>
          <w:tcPr>
            <w:tcW w:w="941" w:type="dxa"/>
            <w:tcBorders>
              <w:top w:val="nil"/>
              <w:left w:val="single" w:sz="8" w:space="0" w:color="auto"/>
              <w:bottom w:val="nil"/>
              <w:right w:val="nil"/>
            </w:tcBorders>
            <w:noWrap/>
            <w:vAlign w:val="center"/>
            <w:hideMark/>
          </w:tcPr>
          <w:p w14:paraId="31C9754E" w14:textId="77777777" w:rsidR="007433B1" w:rsidRPr="000A4369" w:rsidRDefault="007433B1" w:rsidP="00A256C9">
            <w:pPr>
              <w:spacing w:after="0" w:line="240" w:lineRule="auto"/>
              <w:jc w:val="center"/>
              <w:rPr>
                <w:rFonts w:ascii="Aptos" w:eastAsia="Times New Roman" w:hAnsi="Aptos" w:cs="Arial"/>
                <w:color w:val="000000"/>
                <w:sz w:val="20"/>
                <w:szCs w:val="20"/>
              </w:rPr>
            </w:pPr>
            <w:r w:rsidRPr="000A4369">
              <w:rPr>
                <w:rFonts w:ascii="Aptos" w:eastAsia="Times New Roman" w:hAnsi="Aptos" w:cs="Arial"/>
                <w:color w:val="000000"/>
                <w:sz w:val="20"/>
                <w:szCs w:val="20"/>
              </w:rPr>
              <w:t>792200</w:t>
            </w:r>
          </w:p>
        </w:tc>
        <w:tc>
          <w:tcPr>
            <w:tcW w:w="3720" w:type="dxa"/>
            <w:tcBorders>
              <w:top w:val="nil"/>
              <w:left w:val="nil"/>
              <w:bottom w:val="nil"/>
              <w:right w:val="nil"/>
            </w:tcBorders>
            <w:noWrap/>
            <w:vAlign w:val="center"/>
            <w:hideMark/>
          </w:tcPr>
          <w:p w14:paraId="18A5EFC1" w14:textId="77777777" w:rsidR="007433B1" w:rsidRPr="000A4369" w:rsidRDefault="007433B1" w:rsidP="00A256C9">
            <w:pPr>
              <w:spacing w:after="0" w:line="240" w:lineRule="auto"/>
              <w:rPr>
                <w:rFonts w:ascii="Aptos" w:eastAsia="Times New Roman" w:hAnsi="Aptos" w:cs="Arial"/>
                <w:color w:val="000000"/>
                <w:sz w:val="20"/>
                <w:szCs w:val="20"/>
              </w:rPr>
            </w:pPr>
            <w:r w:rsidRPr="000A4369">
              <w:rPr>
                <w:rFonts w:ascii="Aptos" w:eastAsia="Times New Roman" w:hAnsi="Aptos" w:cs="Arial"/>
                <w:color w:val="000000"/>
                <w:sz w:val="20"/>
                <w:szCs w:val="20"/>
              </w:rPr>
              <w:t>Restricted Reserve-Other</w:t>
            </w:r>
          </w:p>
        </w:tc>
        <w:tc>
          <w:tcPr>
            <w:tcW w:w="2943" w:type="dxa"/>
            <w:tcBorders>
              <w:top w:val="nil"/>
              <w:left w:val="nil"/>
              <w:bottom w:val="nil"/>
              <w:right w:val="nil"/>
            </w:tcBorders>
            <w:noWrap/>
            <w:vAlign w:val="center"/>
            <w:hideMark/>
          </w:tcPr>
          <w:p w14:paraId="30EB8CBE" w14:textId="77777777" w:rsidR="007433B1" w:rsidRPr="000A4369" w:rsidRDefault="007433B1" w:rsidP="00A256C9">
            <w:pPr>
              <w:spacing w:after="0" w:line="240" w:lineRule="auto"/>
              <w:rPr>
                <w:rFonts w:ascii="Aptos" w:eastAsia="Times New Roman" w:hAnsi="Aptos" w:cs="Arial"/>
                <w:color w:val="000000"/>
                <w:sz w:val="20"/>
                <w:szCs w:val="20"/>
              </w:rPr>
            </w:pPr>
            <w:r w:rsidRPr="000A4369">
              <w:rPr>
                <w:rFonts w:ascii="Aptos" w:eastAsia="Times New Roman" w:hAnsi="Aptos" w:cs="Arial"/>
                <w:color w:val="000000"/>
                <w:sz w:val="20"/>
                <w:szCs w:val="20"/>
              </w:rPr>
              <w:t>Facilities One Time Reserve</w:t>
            </w:r>
          </w:p>
        </w:tc>
        <w:tc>
          <w:tcPr>
            <w:tcW w:w="1236" w:type="dxa"/>
            <w:tcBorders>
              <w:top w:val="nil"/>
              <w:left w:val="nil"/>
              <w:bottom w:val="nil"/>
              <w:right w:val="single" w:sz="8" w:space="0" w:color="auto"/>
            </w:tcBorders>
            <w:noWrap/>
            <w:vAlign w:val="center"/>
            <w:hideMark/>
          </w:tcPr>
          <w:p w14:paraId="57830F64" w14:textId="77777777" w:rsidR="007433B1" w:rsidRPr="000A4369" w:rsidRDefault="007433B1" w:rsidP="00A256C9">
            <w:pPr>
              <w:spacing w:after="0" w:line="240" w:lineRule="auto"/>
              <w:jc w:val="right"/>
              <w:rPr>
                <w:rFonts w:ascii="Aptos" w:eastAsia="Times New Roman" w:hAnsi="Aptos" w:cs="Arial"/>
                <w:color w:val="000000"/>
                <w:sz w:val="20"/>
                <w:szCs w:val="20"/>
              </w:rPr>
            </w:pPr>
            <w:r w:rsidRPr="000A4369">
              <w:rPr>
                <w:rFonts w:ascii="Aptos" w:eastAsia="Times New Roman" w:hAnsi="Aptos" w:cs="Arial"/>
                <w:color w:val="000000"/>
                <w:sz w:val="20"/>
                <w:szCs w:val="20"/>
              </w:rPr>
              <w:t>300,000</w:t>
            </w:r>
          </w:p>
        </w:tc>
      </w:tr>
      <w:tr w:rsidR="007433B1" w:rsidRPr="007433B1" w14:paraId="547BEB1B" w14:textId="77777777" w:rsidTr="00A30B86">
        <w:trPr>
          <w:trHeight w:val="288"/>
          <w:jc w:val="center"/>
        </w:trPr>
        <w:tc>
          <w:tcPr>
            <w:tcW w:w="941" w:type="dxa"/>
            <w:tcBorders>
              <w:top w:val="nil"/>
              <w:left w:val="single" w:sz="8" w:space="0" w:color="auto"/>
              <w:bottom w:val="nil"/>
              <w:right w:val="nil"/>
            </w:tcBorders>
            <w:noWrap/>
            <w:vAlign w:val="center"/>
            <w:hideMark/>
          </w:tcPr>
          <w:p w14:paraId="41CAC751" w14:textId="77777777" w:rsidR="007433B1" w:rsidRPr="000A4369" w:rsidRDefault="007433B1" w:rsidP="00A256C9">
            <w:pPr>
              <w:spacing w:after="0" w:line="240" w:lineRule="auto"/>
              <w:jc w:val="center"/>
              <w:rPr>
                <w:rFonts w:ascii="Aptos" w:eastAsia="Times New Roman" w:hAnsi="Aptos" w:cs="Arial"/>
                <w:color w:val="000000"/>
                <w:sz w:val="20"/>
                <w:szCs w:val="20"/>
              </w:rPr>
            </w:pPr>
            <w:r w:rsidRPr="000A4369">
              <w:rPr>
                <w:rFonts w:ascii="Aptos" w:eastAsia="Times New Roman" w:hAnsi="Aptos" w:cs="Arial"/>
                <w:color w:val="000000"/>
                <w:sz w:val="20"/>
                <w:szCs w:val="20"/>
              </w:rPr>
              <w:t>792300</w:t>
            </w:r>
          </w:p>
        </w:tc>
        <w:tc>
          <w:tcPr>
            <w:tcW w:w="3720" w:type="dxa"/>
            <w:tcBorders>
              <w:top w:val="nil"/>
              <w:left w:val="nil"/>
              <w:bottom w:val="nil"/>
              <w:right w:val="nil"/>
            </w:tcBorders>
            <w:noWrap/>
            <w:vAlign w:val="center"/>
            <w:hideMark/>
          </w:tcPr>
          <w:p w14:paraId="1B4D38C2" w14:textId="77777777" w:rsidR="007433B1" w:rsidRPr="000A4369" w:rsidRDefault="007433B1" w:rsidP="00A256C9">
            <w:pPr>
              <w:spacing w:after="0" w:line="240" w:lineRule="auto"/>
              <w:rPr>
                <w:rFonts w:ascii="Aptos" w:eastAsia="Times New Roman" w:hAnsi="Aptos" w:cs="Arial"/>
                <w:color w:val="000000"/>
                <w:sz w:val="20"/>
                <w:szCs w:val="20"/>
              </w:rPr>
            </w:pPr>
            <w:r w:rsidRPr="000A4369">
              <w:rPr>
                <w:rFonts w:ascii="Aptos" w:eastAsia="Times New Roman" w:hAnsi="Aptos" w:cs="Arial"/>
                <w:color w:val="000000"/>
                <w:sz w:val="20"/>
                <w:szCs w:val="20"/>
              </w:rPr>
              <w:t>Restricted Reserve-One-Time Funds</w:t>
            </w:r>
          </w:p>
        </w:tc>
        <w:tc>
          <w:tcPr>
            <w:tcW w:w="2943" w:type="dxa"/>
            <w:tcBorders>
              <w:top w:val="nil"/>
              <w:left w:val="nil"/>
              <w:bottom w:val="nil"/>
              <w:right w:val="nil"/>
            </w:tcBorders>
            <w:noWrap/>
            <w:vAlign w:val="center"/>
            <w:hideMark/>
          </w:tcPr>
          <w:p w14:paraId="7C872524" w14:textId="77777777" w:rsidR="007433B1" w:rsidRPr="000A4369" w:rsidRDefault="007433B1" w:rsidP="00A256C9">
            <w:pPr>
              <w:spacing w:after="0" w:line="240" w:lineRule="auto"/>
              <w:rPr>
                <w:rFonts w:ascii="Aptos" w:eastAsia="Times New Roman" w:hAnsi="Aptos" w:cs="Arial"/>
                <w:color w:val="000000"/>
                <w:sz w:val="20"/>
                <w:szCs w:val="20"/>
              </w:rPr>
            </w:pPr>
            <w:r w:rsidRPr="000A4369">
              <w:rPr>
                <w:rFonts w:ascii="Aptos" w:eastAsia="Times New Roman" w:hAnsi="Aptos" w:cs="Arial"/>
                <w:color w:val="000000"/>
                <w:sz w:val="20"/>
                <w:szCs w:val="20"/>
              </w:rPr>
              <w:t>One Time Reserves</w:t>
            </w:r>
          </w:p>
        </w:tc>
        <w:tc>
          <w:tcPr>
            <w:tcW w:w="1236" w:type="dxa"/>
            <w:tcBorders>
              <w:top w:val="nil"/>
              <w:left w:val="nil"/>
              <w:bottom w:val="nil"/>
              <w:right w:val="single" w:sz="8" w:space="0" w:color="auto"/>
            </w:tcBorders>
            <w:noWrap/>
            <w:vAlign w:val="center"/>
            <w:hideMark/>
          </w:tcPr>
          <w:p w14:paraId="67A8DEE5" w14:textId="77777777" w:rsidR="007433B1" w:rsidRPr="000A4369" w:rsidRDefault="007433B1" w:rsidP="00A256C9">
            <w:pPr>
              <w:spacing w:after="0" w:line="240" w:lineRule="auto"/>
              <w:jc w:val="right"/>
              <w:rPr>
                <w:rFonts w:ascii="Aptos" w:eastAsia="Times New Roman" w:hAnsi="Aptos" w:cs="Arial"/>
                <w:color w:val="000000"/>
                <w:sz w:val="20"/>
                <w:szCs w:val="20"/>
              </w:rPr>
            </w:pPr>
            <w:r w:rsidRPr="000A4369">
              <w:rPr>
                <w:rFonts w:ascii="Aptos" w:eastAsia="Times New Roman" w:hAnsi="Aptos" w:cs="Arial"/>
                <w:color w:val="000000"/>
                <w:sz w:val="20"/>
                <w:szCs w:val="20"/>
              </w:rPr>
              <w:t>1,500,000</w:t>
            </w:r>
          </w:p>
        </w:tc>
      </w:tr>
      <w:tr w:rsidR="007433B1" w:rsidRPr="007433B1" w14:paraId="07F14CDB" w14:textId="77777777" w:rsidTr="00A30B86">
        <w:trPr>
          <w:trHeight w:val="288"/>
          <w:jc w:val="center"/>
        </w:trPr>
        <w:tc>
          <w:tcPr>
            <w:tcW w:w="941" w:type="dxa"/>
            <w:tcBorders>
              <w:top w:val="nil"/>
              <w:left w:val="single" w:sz="8" w:space="0" w:color="auto"/>
              <w:bottom w:val="nil"/>
              <w:right w:val="nil"/>
            </w:tcBorders>
            <w:noWrap/>
            <w:vAlign w:val="center"/>
            <w:hideMark/>
          </w:tcPr>
          <w:p w14:paraId="30F74493" w14:textId="77777777" w:rsidR="007433B1" w:rsidRPr="000A4369" w:rsidRDefault="007433B1" w:rsidP="00A256C9">
            <w:pPr>
              <w:spacing w:after="0" w:line="240" w:lineRule="auto"/>
              <w:jc w:val="center"/>
              <w:rPr>
                <w:rFonts w:ascii="Aptos" w:eastAsia="Times New Roman" w:hAnsi="Aptos" w:cs="Arial"/>
                <w:color w:val="000000"/>
                <w:sz w:val="20"/>
                <w:szCs w:val="20"/>
              </w:rPr>
            </w:pPr>
            <w:r w:rsidRPr="000A4369">
              <w:rPr>
                <w:rFonts w:ascii="Aptos" w:eastAsia="Times New Roman" w:hAnsi="Aptos" w:cs="Arial"/>
                <w:color w:val="000000"/>
                <w:sz w:val="20"/>
                <w:szCs w:val="20"/>
              </w:rPr>
              <w:t>792500</w:t>
            </w:r>
          </w:p>
        </w:tc>
        <w:tc>
          <w:tcPr>
            <w:tcW w:w="3720" w:type="dxa"/>
            <w:tcBorders>
              <w:top w:val="nil"/>
              <w:left w:val="nil"/>
              <w:bottom w:val="nil"/>
              <w:right w:val="nil"/>
            </w:tcBorders>
            <w:noWrap/>
            <w:vAlign w:val="center"/>
            <w:hideMark/>
          </w:tcPr>
          <w:p w14:paraId="190E861C" w14:textId="77777777" w:rsidR="007433B1" w:rsidRPr="000A4369" w:rsidRDefault="007433B1" w:rsidP="00A256C9">
            <w:pPr>
              <w:spacing w:after="0" w:line="240" w:lineRule="auto"/>
              <w:rPr>
                <w:rFonts w:ascii="Aptos" w:eastAsia="Times New Roman" w:hAnsi="Aptos" w:cs="Arial"/>
                <w:color w:val="000000"/>
                <w:sz w:val="20"/>
                <w:szCs w:val="20"/>
              </w:rPr>
            </w:pPr>
            <w:r w:rsidRPr="000A4369">
              <w:rPr>
                <w:rFonts w:ascii="Aptos" w:eastAsia="Times New Roman" w:hAnsi="Aptos" w:cs="Arial"/>
                <w:color w:val="000000"/>
                <w:sz w:val="20"/>
                <w:szCs w:val="20"/>
              </w:rPr>
              <w:t xml:space="preserve">Restricted Reserve </w:t>
            </w:r>
          </w:p>
        </w:tc>
        <w:tc>
          <w:tcPr>
            <w:tcW w:w="2943" w:type="dxa"/>
            <w:tcBorders>
              <w:top w:val="nil"/>
              <w:left w:val="nil"/>
              <w:bottom w:val="nil"/>
              <w:right w:val="nil"/>
            </w:tcBorders>
            <w:noWrap/>
            <w:vAlign w:val="center"/>
            <w:hideMark/>
          </w:tcPr>
          <w:p w14:paraId="5D3B9751" w14:textId="77777777" w:rsidR="007433B1" w:rsidRPr="000A4369" w:rsidRDefault="007433B1" w:rsidP="00A256C9">
            <w:pPr>
              <w:spacing w:after="0" w:line="240" w:lineRule="auto"/>
              <w:rPr>
                <w:rFonts w:ascii="Aptos" w:eastAsia="Times New Roman" w:hAnsi="Aptos" w:cs="Arial"/>
                <w:color w:val="000000"/>
                <w:sz w:val="20"/>
                <w:szCs w:val="20"/>
              </w:rPr>
            </w:pPr>
            <w:r w:rsidRPr="000A4369">
              <w:rPr>
                <w:rFonts w:ascii="Aptos" w:eastAsia="Times New Roman" w:hAnsi="Aptos" w:cs="Arial"/>
                <w:color w:val="000000"/>
                <w:sz w:val="20"/>
                <w:szCs w:val="20"/>
              </w:rPr>
              <w:t>Bookstore Reserve</w:t>
            </w:r>
          </w:p>
        </w:tc>
        <w:tc>
          <w:tcPr>
            <w:tcW w:w="1236" w:type="dxa"/>
            <w:tcBorders>
              <w:top w:val="nil"/>
              <w:left w:val="nil"/>
              <w:bottom w:val="nil"/>
              <w:right w:val="single" w:sz="8" w:space="0" w:color="auto"/>
            </w:tcBorders>
            <w:noWrap/>
            <w:vAlign w:val="center"/>
            <w:hideMark/>
          </w:tcPr>
          <w:p w14:paraId="5228F2A4" w14:textId="77777777" w:rsidR="007433B1" w:rsidRPr="000A4369" w:rsidRDefault="007433B1" w:rsidP="00A256C9">
            <w:pPr>
              <w:spacing w:after="0" w:line="240" w:lineRule="auto"/>
              <w:jc w:val="right"/>
              <w:rPr>
                <w:rFonts w:ascii="Aptos" w:eastAsia="Times New Roman" w:hAnsi="Aptos" w:cs="Arial"/>
                <w:color w:val="000000"/>
                <w:sz w:val="20"/>
                <w:szCs w:val="20"/>
              </w:rPr>
            </w:pPr>
            <w:r w:rsidRPr="000A4369">
              <w:rPr>
                <w:rFonts w:ascii="Aptos" w:eastAsia="Times New Roman" w:hAnsi="Aptos" w:cs="Arial"/>
                <w:color w:val="000000"/>
                <w:sz w:val="20"/>
                <w:szCs w:val="20"/>
              </w:rPr>
              <w:t>1,402,778</w:t>
            </w:r>
          </w:p>
        </w:tc>
      </w:tr>
      <w:tr w:rsidR="007433B1" w:rsidRPr="007433B1" w14:paraId="29639D42" w14:textId="77777777" w:rsidTr="00A30B86">
        <w:trPr>
          <w:trHeight w:val="288"/>
          <w:jc w:val="center"/>
        </w:trPr>
        <w:tc>
          <w:tcPr>
            <w:tcW w:w="941" w:type="dxa"/>
            <w:tcBorders>
              <w:top w:val="nil"/>
              <w:left w:val="single" w:sz="8" w:space="0" w:color="auto"/>
              <w:bottom w:val="nil"/>
              <w:right w:val="nil"/>
            </w:tcBorders>
            <w:noWrap/>
            <w:vAlign w:val="center"/>
            <w:hideMark/>
          </w:tcPr>
          <w:p w14:paraId="4F1E27C7" w14:textId="77777777" w:rsidR="007433B1" w:rsidRPr="000A4369" w:rsidRDefault="007433B1" w:rsidP="00A256C9">
            <w:pPr>
              <w:spacing w:after="0" w:line="240" w:lineRule="auto"/>
              <w:jc w:val="center"/>
              <w:rPr>
                <w:rFonts w:ascii="Aptos" w:eastAsia="Times New Roman" w:hAnsi="Aptos" w:cs="Arial"/>
                <w:color w:val="000000"/>
                <w:sz w:val="20"/>
                <w:szCs w:val="20"/>
              </w:rPr>
            </w:pPr>
            <w:r w:rsidRPr="000A4369">
              <w:rPr>
                <w:rFonts w:ascii="Aptos" w:eastAsia="Times New Roman" w:hAnsi="Aptos" w:cs="Arial"/>
                <w:color w:val="000000"/>
                <w:sz w:val="20"/>
                <w:szCs w:val="20"/>
              </w:rPr>
              <w:t>799300</w:t>
            </w:r>
          </w:p>
        </w:tc>
        <w:tc>
          <w:tcPr>
            <w:tcW w:w="3720" w:type="dxa"/>
            <w:tcBorders>
              <w:top w:val="nil"/>
              <w:left w:val="nil"/>
              <w:bottom w:val="nil"/>
              <w:right w:val="nil"/>
            </w:tcBorders>
            <w:noWrap/>
            <w:vAlign w:val="center"/>
            <w:hideMark/>
          </w:tcPr>
          <w:p w14:paraId="52E8DC4D" w14:textId="77777777" w:rsidR="007433B1" w:rsidRPr="000A4369" w:rsidRDefault="007433B1" w:rsidP="00A256C9">
            <w:pPr>
              <w:spacing w:after="0" w:line="240" w:lineRule="auto"/>
              <w:rPr>
                <w:rFonts w:ascii="Aptos" w:eastAsia="Times New Roman" w:hAnsi="Aptos" w:cs="Arial"/>
                <w:color w:val="000000"/>
                <w:sz w:val="20"/>
                <w:szCs w:val="20"/>
              </w:rPr>
            </w:pPr>
            <w:r w:rsidRPr="000A4369">
              <w:rPr>
                <w:rFonts w:ascii="Aptos" w:eastAsia="Times New Roman" w:hAnsi="Aptos" w:cs="Arial"/>
                <w:color w:val="000000"/>
                <w:sz w:val="20"/>
                <w:szCs w:val="20"/>
              </w:rPr>
              <w:t>Reserve for Furniture, Fixture and Equip</w:t>
            </w:r>
          </w:p>
        </w:tc>
        <w:tc>
          <w:tcPr>
            <w:tcW w:w="2943" w:type="dxa"/>
            <w:tcBorders>
              <w:top w:val="nil"/>
              <w:left w:val="nil"/>
              <w:bottom w:val="nil"/>
              <w:right w:val="nil"/>
            </w:tcBorders>
            <w:noWrap/>
            <w:vAlign w:val="center"/>
            <w:hideMark/>
          </w:tcPr>
          <w:p w14:paraId="4A585C1A" w14:textId="77777777" w:rsidR="007433B1" w:rsidRPr="000A4369" w:rsidRDefault="007433B1" w:rsidP="00A256C9">
            <w:pPr>
              <w:spacing w:after="0" w:line="240" w:lineRule="auto"/>
              <w:rPr>
                <w:rFonts w:ascii="Aptos" w:eastAsia="Times New Roman" w:hAnsi="Aptos" w:cs="Arial"/>
                <w:color w:val="000000"/>
                <w:sz w:val="20"/>
                <w:szCs w:val="20"/>
              </w:rPr>
            </w:pPr>
            <w:r w:rsidRPr="000A4369">
              <w:rPr>
                <w:rFonts w:ascii="Aptos" w:eastAsia="Times New Roman" w:hAnsi="Aptos" w:cs="Arial"/>
                <w:color w:val="000000"/>
                <w:sz w:val="20"/>
                <w:szCs w:val="20"/>
              </w:rPr>
              <w:t>FF&amp;E Reserve</w:t>
            </w:r>
          </w:p>
        </w:tc>
        <w:tc>
          <w:tcPr>
            <w:tcW w:w="1236" w:type="dxa"/>
            <w:tcBorders>
              <w:top w:val="nil"/>
              <w:left w:val="nil"/>
              <w:bottom w:val="nil"/>
              <w:right w:val="single" w:sz="8" w:space="0" w:color="auto"/>
            </w:tcBorders>
            <w:noWrap/>
            <w:vAlign w:val="center"/>
            <w:hideMark/>
          </w:tcPr>
          <w:p w14:paraId="3AD21B07" w14:textId="77777777" w:rsidR="007433B1" w:rsidRPr="000A4369" w:rsidRDefault="007433B1" w:rsidP="00A256C9">
            <w:pPr>
              <w:spacing w:after="0" w:line="240" w:lineRule="auto"/>
              <w:jc w:val="right"/>
              <w:rPr>
                <w:rFonts w:ascii="Aptos" w:eastAsia="Times New Roman" w:hAnsi="Aptos" w:cs="Arial"/>
                <w:color w:val="000000"/>
                <w:sz w:val="20"/>
                <w:szCs w:val="20"/>
                <w:u w:val="single"/>
              </w:rPr>
            </w:pPr>
            <w:r w:rsidRPr="000A4369">
              <w:rPr>
                <w:rFonts w:ascii="Aptos" w:eastAsia="Times New Roman" w:hAnsi="Aptos" w:cs="Arial"/>
                <w:color w:val="000000"/>
                <w:sz w:val="20"/>
                <w:szCs w:val="20"/>
                <w:u w:val="single"/>
              </w:rPr>
              <w:t xml:space="preserve">$1,000,000 </w:t>
            </w:r>
          </w:p>
        </w:tc>
      </w:tr>
      <w:tr w:rsidR="007433B1" w:rsidRPr="007433B1" w14:paraId="7023FAB1" w14:textId="77777777" w:rsidTr="00A30B86">
        <w:trPr>
          <w:trHeight w:val="288"/>
          <w:jc w:val="center"/>
        </w:trPr>
        <w:tc>
          <w:tcPr>
            <w:tcW w:w="941" w:type="dxa"/>
            <w:tcBorders>
              <w:top w:val="nil"/>
              <w:left w:val="single" w:sz="8" w:space="0" w:color="auto"/>
              <w:bottom w:val="single" w:sz="8" w:space="0" w:color="auto"/>
              <w:right w:val="nil"/>
            </w:tcBorders>
            <w:noWrap/>
            <w:vAlign w:val="bottom"/>
            <w:hideMark/>
          </w:tcPr>
          <w:p w14:paraId="6D94ABEA" w14:textId="77777777" w:rsidR="007433B1" w:rsidRPr="000A4369" w:rsidRDefault="007433B1" w:rsidP="00A256C9">
            <w:pPr>
              <w:spacing w:after="0" w:line="240" w:lineRule="auto"/>
              <w:rPr>
                <w:rFonts w:ascii="Aptos" w:eastAsia="Times New Roman" w:hAnsi="Aptos"/>
                <w:color w:val="000000"/>
                <w:sz w:val="20"/>
                <w:szCs w:val="20"/>
              </w:rPr>
            </w:pPr>
            <w:r w:rsidRPr="000A4369">
              <w:rPr>
                <w:rFonts w:ascii="Aptos" w:eastAsia="Times New Roman" w:hAnsi="Aptos"/>
                <w:color w:val="000000"/>
                <w:sz w:val="20"/>
                <w:szCs w:val="20"/>
              </w:rPr>
              <w:t> </w:t>
            </w:r>
          </w:p>
        </w:tc>
        <w:tc>
          <w:tcPr>
            <w:tcW w:w="3720" w:type="dxa"/>
            <w:tcBorders>
              <w:top w:val="nil"/>
              <w:left w:val="nil"/>
              <w:bottom w:val="single" w:sz="8" w:space="0" w:color="auto"/>
              <w:right w:val="nil"/>
            </w:tcBorders>
            <w:noWrap/>
            <w:vAlign w:val="bottom"/>
            <w:hideMark/>
          </w:tcPr>
          <w:p w14:paraId="7B942006" w14:textId="77777777" w:rsidR="007433B1" w:rsidRPr="000A4369" w:rsidRDefault="007433B1" w:rsidP="00A256C9">
            <w:pPr>
              <w:spacing w:after="0" w:line="240" w:lineRule="auto"/>
              <w:rPr>
                <w:rFonts w:ascii="Aptos" w:eastAsia="Times New Roman" w:hAnsi="Aptos"/>
                <w:color w:val="000000"/>
                <w:sz w:val="20"/>
                <w:szCs w:val="20"/>
              </w:rPr>
            </w:pPr>
            <w:r w:rsidRPr="000A4369">
              <w:rPr>
                <w:rFonts w:ascii="Aptos" w:eastAsia="Times New Roman" w:hAnsi="Aptos"/>
                <w:color w:val="000000"/>
                <w:sz w:val="20"/>
                <w:szCs w:val="20"/>
              </w:rPr>
              <w:t> </w:t>
            </w:r>
          </w:p>
        </w:tc>
        <w:tc>
          <w:tcPr>
            <w:tcW w:w="2943" w:type="dxa"/>
            <w:tcBorders>
              <w:top w:val="nil"/>
              <w:left w:val="nil"/>
              <w:bottom w:val="single" w:sz="8" w:space="0" w:color="auto"/>
              <w:right w:val="nil"/>
            </w:tcBorders>
            <w:noWrap/>
            <w:vAlign w:val="center"/>
            <w:hideMark/>
          </w:tcPr>
          <w:p w14:paraId="7C9D754C" w14:textId="77777777" w:rsidR="007433B1" w:rsidRPr="000A4369" w:rsidRDefault="007433B1" w:rsidP="00A256C9">
            <w:pPr>
              <w:spacing w:after="0" w:line="240" w:lineRule="auto"/>
              <w:jc w:val="center"/>
              <w:rPr>
                <w:rFonts w:ascii="Aptos" w:eastAsia="Times New Roman" w:hAnsi="Aptos" w:cs="Arial"/>
                <w:color w:val="000000"/>
                <w:sz w:val="20"/>
                <w:szCs w:val="20"/>
              </w:rPr>
            </w:pPr>
            <w:r w:rsidRPr="000A4369">
              <w:rPr>
                <w:rFonts w:ascii="Aptos" w:eastAsia="Times New Roman" w:hAnsi="Aptos" w:cs="Arial"/>
                <w:color w:val="000000"/>
                <w:sz w:val="20"/>
                <w:szCs w:val="20"/>
              </w:rPr>
              <w:t>Total</w:t>
            </w:r>
          </w:p>
        </w:tc>
        <w:tc>
          <w:tcPr>
            <w:tcW w:w="1236" w:type="dxa"/>
            <w:tcBorders>
              <w:top w:val="nil"/>
              <w:left w:val="nil"/>
              <w:bottom w:val="single" w:sz="8" w:space="0" w:color="auto"/>
              <w:right w:val="single" w:sz="8" w:space="0" w:color="auto"/>
            </w:tcBorders>
            <w:noWrap/>
            <w:vAlign w:val="bottom"/>
            <w:hideMark/>
          </w:tcPr>
          <w:p w14:paraId="3FA9CCD6" w14:textId="77777777" w:rsidR="007433B1" w:rsidRPr="000A4369" w:rsidRDefault="007433B1" w:rsidP="00A256C9">
            <w:pPr>
              <w:spacing w:after="0" w:line="240" w:lineRule="auto"/>
              <w:jc w:val="right"/>
              <w:rPr>
                <w:rFonts w:ascii="Aptos" w:eastAsia="Times New Roman" w:hAnsi="Aptos" w:cs="Arial"/>
                <w:color w:val="000000"/>
                <w:sz w:val="20"/>
                <w:szCs w:val="20"/>
                <w:u w:val="double"/>
              </w:rPr>
            </w:pPr>
            <w:r w:rsidRPr="000A4369">
              <w:rPr>
                <w:rFonts w:ascii="Aptos" w:eastAsia="Times New Roman" w:hAnsi="Aptos" w:cs="Arial"/>
                <w:color w:val="000000"/>
                <w:sz w:val="20"/>
                <w:szCs w:val="20"/>
                <w:u w:val="double"/>
              </w:rPr>
              <w:t xml:space="preserve">$5,353,744 </w:t>
            </w:r>
          </w:p>
        </w:tc>
      </w:tr>
    </w:tbl>
    <w:p w14:paraId="75935CD1" w14:textId="7046C3C9" w:rsidR="007433B1" w:rsidRPr="007433B1" w:rsidRDefault="007433B1" w:rsidP="000A4369">
      <w:pPr>
        <w:spacing w:before="120" w:after="120" w:line="240" w:lineRule="auto"/>
        <w:rPr>
          <w:rFonts w:ascii="Aptos" w:eastAsia="Times New Roman" w:hAnsi="Aptos" w:cs="Arial"/>
          <w:sz w:val="22"/>
          <w:szCs w:val="22"/>
        </w:rPr>
      </w:pPr>
      <w:r w:rsidRPr="007433B1">
        <w:rPr>
          <w:rFonts w:ascii="Aptos" w:hAnsi="Aptos" w:cs="Arial"/>
          <w:sz w:val="22"/>
          <w:szCs w:val="22"/>
        </w:rPr>
        <w:t xml:space="preserve">The district also sets aside unrestricted contingency funds in two reserve accounts (accounts 792900 and 799000). The contingency reserves total $23,895,883 or 26.64% of budgeted expenses. This percentage exceeds the </w:t>
      </w:r>
      <w:r w:rsidRPr="007433B1">
        <w:rPr>
          <w:rFonts w:ascii="Aptos" w:hAnsi="Aptos" w:cs="Arial"/>
          <w:color w:val="212529"/>
          <w:sz w:val="22"/>
          <w:szCs w:val="22"/>
          <w:shd w:val="clear" w:color="auto" w:fill="FFFFFF"/>
        </w:rPr>
        <w:t>Government Finance Officers Association recommendation for public entities to set aside two months of general fund operating expenses (16.7%) and is required as a minimum reserve amount in Board Policy 6305, Reserves. </w:t>
      </w:r>
    </w:p>
    <w:tbl>
      <w:tblPr>
        <w:tblW w:w="8840" w:type="dxa"/>
        <w:jc w:val="center"/>
        <w:tblLook w:val="04A0" w:firstRow="1" w:lastRow="0" w:firstColumn="1" w:lastColumn="0" w:noHBand="0" w:noVBand="1"/>
      </w:tblPr>
      <w:tblGrid>
        <w:gridCol w:w="1111"/>
        <w:gridCol w:w="3743"/>
        <w:gridCol w:w="2453"/>
        <w:gridCol w:w="1533"/>
      </w:tblGrid>
      <w:tr w:rsidR="007433B1" w:rsidRPr="000A4369" w14:paraId="0277D230" w14:textId="77777777" w:rsidTr="00A256C9">
        <w:trPr>
          <w:trHeight w:val="315"/>
          <w:jc w:val="center"/>
        </w:trPr>
        <w:tc>
          <w:tcPr>
            <w:tcW w:w="8840" w:type="dxa"/>
            <w:gridSpan w:val="4"/>
            <w:tcBorders>
              <w:top w:val="single" w:sz="8" w:space="0" w:color="auto"/>
              <w:left w:val="single" w:sz="8" w:space="0" w:color="000000"/>
              <w:bottom w:val="nil"/>
              <w:right w:val="single" w:sz="8" w:space="0" w:color="000000"/>
            </w:tcBorders>
            <w:shd w:val="clear" w:color="000000" w:fill="ADADAD"/>
            <w:noWrap/>
            <w:vAlign w:val="center"/>
            <w:hideMark/>
          </w:tcPr>
          <w:p w14:paraId="4A6792CE" w14:textId="77777777" w:rsidR="007433B1" w:rsidRPr="000A4369" w:rsidRDefault="007433B1" w:rsidP="00A256C9">
            <w:pPr>
              <w:spacing w:after="0" w:line="240" w:lineRule="auto"/>
              <w:jc w:val="center"/>
              <w:rPr>
                <w:rFonts w:ascii="Aptos" w:eastAsia="Times New Roman" w:hAnsi="Aptos" w:cs="Arial"/>
                <w:b/>
                <w:bCs/>
                <w:color w:val="000000"/>
                <w:sz w:val="20"/>
                <w:szCs w:val="20"/>
              </w:rPr>
            </w:pPr>
            <w:r w:rsidRPr="000A4369">
              <w:rPr>
                <w:rFonts w:ascii="Aptos" w:eastAsia="Times New Roman" w:hAnsi="Aptos" w:cs="Arial"/>
                <w:b/>
                <w:bCs/>
                <w:color w:val="000000"/>
                <w:sz w:val="20"/>
                <w:szCs w:val="20"/>
              </w:rPr>
              <w:t>Contingency Reserve</w:t>
            </w:r>
          </w:p>
        </w:tc>
      </w:tr>
      <w:tr w:rsidR="007433B1" w:rsidRPr="000A4369" w14:paraId="20EF10FA" w14:textId="77777777" w:rsidTr="00A256C9">
        <w:trPr>
          <w:trHeight w:val="315"/>
          <w:jc w:val="center"/>
        </w:trPr>
        <w:tc>
          <w:tcPr>
            <w:tcW w:w="1111" w:type="dxa"/>
            <w:tcBorders>
              <w:top w:val="single" w:sz="8" w:space="0" w:color="000000"/>
              <w:left w:val="single" w:sz="8" w:space="0" w:color="000000"/>
              <w:bottom w:val="nil"/>
              <w:right w:val="nil"/>
            </w:tcBorders>
            <w:shd w:val="clear" w:color="000000" w:fill="F2F2F2"/>
            <w:noWrap/>
            <w:vAlign w:val="center"/>
            <w:hideMark/>
          </w:tcPr>
          <w:p w14:paraId="49C73DC0" w14:textId="77777777" w:rsidR="007433B1" w:rsidRPr="000A4369" w:rsidRDefault="007433B1" w:rsidP="00A256C9">
            <w:pPr>
              <w:spacing w:after="0" w:line="240" w:lineRule="auto"/>
              <w:jc w:val="center"/>
              <w:rPr>
                <w:rFonts w:ascii="Aptos" w:eastAsia="Times New Roman" w:hAnsi="Aptos" w:cs="Arial"/>
                <w:b/>
                <w:bCs/>
                <w:color w:val="000000"/>
                <w:sz w:val="20"/>
                <w:szCs w:val="20"/>
              </w:rPr>
            </w:pPr>
            <w:r w:rsidRPr="000A4369">
              <w:rPr>
                <w:rFonts w:ascii="Aptos" w:eastAsia="Times New Roman" w:hAnsi="Aptos" w:cs="Arial"/>
                <w:b/>
                <w:bCs/>
                <w:color w:val="000000"/>
                <w:sz w:val="20"/>
                <w:szCs w:val="20"/>
              </w:rPr>
              <w:t>Account</w:t>
            </w:r>
          </w:p>
        </w:tc>
        <w:tc>
          <w:tcPr>
            <w:tcW w:w="3743" w:type="dxa"/>
            <w:tcBorders>
              <w:top w:val="single" w:sz="8" w:space="0" w:color="000000"/>
              <w:left w:val="nil"/>
              <w:bottom w:val="nil"/>
              <w:right w:val="nil"/>
            </w:tcBorders>
            <w:shd w:val="clear" w:color="000000" w:fill="F2F2F2"/>
            <w:noWrap/>
            <w:vAlign w:val="center"/>
            <w:hideMark/>
          </w:tcPr>
          <w:p w14:paraId="7B98BF12" w14:textId="77777777" w:rsidR="007433B1" w:rsidRPr="000A4369" w:rsidRDefault="007433B1" w:rsidP="00A256C9">
            <w:pPr>
              <w:spacing w:after="0" w:line="240" w:lineRule="auto"/>
              <w:jc w:val="center"/>
              <w:rPr>
                <w:rFonts w:ascii="Aptos" w:eastAsia="Times New Roman" w:hAnsi="Aptos" w:cs="Arial"/>
                <w:b/>
                <w:bCs/>
                <w:color w:val="000000"/>
                <w:sz w:val="20"/>
                <w:szCs w:val="20"/>
              </w:rPr>
            </w:pPr>
            <w:r w:rsidRPr="000A4369">
              <w:rPr>
                <w:rFonts w:ascii="Aptos" w:eastAsia="Times New Roman" w:hAnsi="Aptos" w:cs="Arial"/>
                <w:b/>
                <w:bCs/>
                <w:color w:val="000000"/>
                <w:sz w:val="20"/>
                <w:szCs w:val="20"/>
              </w:rPr>
              <w:t>Account Title</w:t>
            </w:r>
          </w:p>
        </w:tc>
        <w:tc>
          <w:tcPr>
            <w:tcW w:w="2453" w:type="dxa"/>
            <w:tcBorders>
              <w:top w:val="single" w:sz="8" w:space="0" w:color="000000"/>
              <w:left w:val="nil"/>
              <w:bottom w:val="nil"/>
              <w:right w:val="nil"/>
            </w:tcBorders>
            <w:shd w:val="clear" w:color="000000" w:fill="F2F2F2"/>
            <w:noWrap/>
            <w:vAlign w:val="center"/>
            <w:hideMark/>
          </w:tcPr>
          <w:p w14:paraId="2DE721F5" w14:textId="77777777" w:rsidR="007433B1" w:rsidRPr="000A4369" w:rsidRDefault="007433B1" w:rsidP="00A256C9">
            <w:pPr>
              <w:spacing w:after="0" w:line="240" w:lineRule="auto"/>
              <w:jc w:val="center"/>
              <w:rPr>
                <w:rFonts w:ascii="Aptos" w:eastAsia="Times New Roman" w:hAnsi="Aptos" w:cs="Arial"/>
                <w:b/>
                <w:bCs/>
                <w:color w:val="000000"/>
                <w:sz w:val="20"/>
                <w:szCs w:val="20"/>
              </w:rPr>
            </w:pPr>
            <w:r w:rsidRPr="000A4369">
              <w:rPr>
                <w:rFonts w:ascii="Aptos" w:eastAsia="Times New Roman" w:hAnsi="Aptos" w:cs="Arial"/>
                <w:b/>
                <w:bCs/>
                <w:color w:val="000000"/>
                <w:sz w:val="20"/>
                <w:szCs w:val="20"/>
              </w:rPr>
              <w:t>Program Title</w:t>
            </w:r>
          </w:p>
        </w:tc>
        <w:tc>
          <w:tcPr>
            <w:tcW w:w="1533" w:type="dxa"/>
            <w:tcBorders>
              <w:top w:val="single" w:sz="8" w:space="0" w:color="000000"/>
              <w:left w:val="nil"/>
              <w:bottom w:val="nil"/>
              <w:right w:val="single" w:sz="8" w:space="0" w:color="000000"/>
            </w:tcBorders>
            <w:shd w:val="clear" w:color="000000" w:fill="F2F2F2"/>
            <w:vAlign w:val="center"/>
            <w:hideMark/>
          </w:tcPr>
          <w:p w14:paraId="170E76C5" w14:textId="77777777" w:rsidR="007433B1" w:rsidRPr="000A4369" w:rsidRDefault="007433B1" w:rsidP="00A256C9">
            <w:pPr>
              <w:spacing w:after="0" w:line="240" w:lineRule="auto"/>
              <w:jc w:val="center"/>
              <w:rPr>
                <w:rFonts w:ascii="Aptos" w:eastAsia="Times New Roman" w:hAnsi="Aptos" w:cs="Arial"/>
                <w:b/>
                <w:bCs/>
                <w:color w:val="000000"/>
                <w:sz w:val="20"/>
                <w:szCs w:val="20"/>
              </w:rPr>
            </w:pPr>
            <w:r w:rsidRPr="000A4369">
              <w:rPr>
                <w:rFonts w:ascii="Aptos" w:eastAsia="Times New Roman" w:hAnsi="Aptos" w:cs="Arial"/>
                <w:b/>
                <w:bCs/>
                <w:color w:val="000000"/>
                <w:sz w:val="20"/>
                <w:szCs w:val="20"/>
              </w:rPr>
              <w:t>Budget</w:t>
            </w:r>
          </w:p>
        </w:tc>
      </w:tr>
      <w:tr w:rsidR="007433B1" w:rsidRPr="000A4369" w14:paraId="7BBF32C3" w14:textId="77777777" w:rsidTr="00A256C9">
        <w:trPr>
          <w:trHeight w:val="300"/>
          <w:jc w:val="center"/>
        </w:trPr>
        <w:tc>
          <w:tcPr>
            <w:tcW w:w="1111" w:type="dxa"/>
            <w:tcBorders>
              <w:top w:val="single" w:sz="8" w:space="0" w:color="auto"/>
              <w:left w:val="single" w:sz="8" w:space="0" w:color="auto"/>
              <w:bottom w:val="nil"/>
              <w:right w:val="nil"/>
            </w:tcBorders>
            <w:noWrap/>
            <w:vAlign w:val="center"/>
            <w:hideMark/>
          </w:tcPr>
          <w:p w14:paraId="0E6AFD26" w14:textId="77777777" w:rsidR="007433B1" w:rsidRPr="000A4369" w:rsidRDefault="007433B1" w:rsidP="00A256C9">
            <w:pPr>
              <w:spacing w:after="0" w:line="240" w:lineRule="auto"/>
              <w:jc w:val="center"/>
              <w:rPr>
                <w:rFonts w:ascii="Aptos" w:eastAsia="Times New Roman" w:hAnsi="Aptos" w:cs="Arial"/>
                <w:color w:val="000000"/>
                <w:sz w:val="20"/>
                <w:szCs w:val="20"/>
              </w:rPr>
            </w:pPr>
            <w:r w:rsidRPr="000A4369">
              <w:rPr>
                <w:rFonts w:ascii="Aptos" w:eastAsia="Times New Roman" w:hAnsi="Aptos" w:cs="Arial"/>
                <w:color w:val="000000"/>
                <w:sz w:val="20"/>
                <w:szCs w:val="20"/>
              </w:rPr>
              <w:t>792900</w:t>
            </w:r>
          </w:p>
        </w:tc>
        <w:tc>
          <w:tcPr>
            <w:tcW w:w="3743" w:type="dxa"/>
            <w:tcBorders>
              <w:top w:val="single" w:sz="8" w:space="0" w:color="auto"/>
              <w:left w:val="nil"/>
              <w:bottom w:val="nil"/>
              <w:right w:val="nil"/>
            </w:tcBorders>
            <w:noWrap/>
            <w:vAlign w:val="center"/>
            <w:hideMark/>
          </w:tcPr>
          <w:p w14:paraId="397E425E" w14:textId="77777777" w:rsidR="007433B1" w:rsidRPr="000A4369" w:rsidRDefault="007433B1" w:rsidP="00A256C9">
            <w:pPr>
              <w:spacing w:after="0" w:line="240" w:lineRule="auto"/>
              <w:rPr>
                <w:rFonts w:ascii="Aptos" w:eastAsia="Times New Roman" w:hAnsi="Aptos" w:cs="Arial"/>
                <w:color w:val="000000"/>
                <w:sz w:val="20"/>
                <w:szCs w:val="20"/>
              </w:rPr>
            </w:pPr>
            <w:r w:rsidRPr="000A4369">
              <w:rPr>
                <w:rFonts w:ascii="Aptos" w:eastAsia="Times New Roman" w:hAnsi="Aptos" w:cs="Arial"/>
                <w:color w:val="000000"/>
                <w:sz w:val="20"/>
                <w:szCs w:val="20"/>
              </w:rPr>
              <w:t>Reserve for Economic Uncertainty</w:t>
            </w:r>
          </w:p>
        </w:tc>
        <w:tc>
          <w:tcPr>
            <w:tcW w:w="2453" w:type="dxa"/>
            <w:tcBorders>
              <w:top w:val="single" w:sz="8" w:space="0" w:color="auto"/>
              <w:left w:val="nil"/>
              <w:bottom w:val="nil"/>
              <w:right w:val="nil"/>
            </w:tcBorders>
            <w:noWrap/>
            <w:vAlign w:val="center"/>
            <w:hideMark/>
          </w:tcPr>
          <w:p w14:paraId="3BC4E664" w14:textId="77777777" w:rsidR="007433B1" w:rsidRPr="000A4369" w:rsidRDefault="007433B1" w:rsidP="00A256C9">
            <w:pPr>
              <w:spacing w:after="0" w:line="240" w:lineRule="auto"/>
              <w:rPr>
                <w:rFonts w:ascii="Aptos" w:eastAsia="Times New Roman" w:hAnsi="Aptos" w:cs="Arial"/>
                <w:color w:val="000000"/>
                <w:sz w:val="20"/>
                <w:szCs w:val="20"/>
              </w:rPr>
            </w:pPr>
            <w:r w:rsidRPr="000A4369">
              <w:rPr>
                <w:rFonts w:ascii="Aptos" w:eastAsia="Times New Roman" w:hAnsi="Aptos" w:cs="Arial"/>
                <w:color w:val="000000"/>
                <w:sz w:val="20"/>
                <w:szCs w:val="20"/>
              </w:rPr>
              <w:t>GFOA Reserve</w:t>
            </w:r>
          </w:p>
        </w:tc>
        <w:tc>
          <w:tcPr>
            <w:tcW w:w="1533" w:type="dxa"/>
            <w:tcBorders>
              <w:top w:val="single" w:sz="8" w:space="0" w:color="auto"/>
              <w:left w:val="nil"/>
              <w:bottom w:val="nil"/>
              <w:right w:val="single" w:sz="8" w:space="0" w:color="auto"/>
            </w:tcBorders>
            <w:noWrap/>
            <w:vAlign w:val="bottom"/>
            <w:hideMark/>
          </w:tcPr>
          <w:p w14:paraId="0BC766CB" w14:textId="77777777" w:rsidR="007433B1" w:rsidRPr="000A4369" w:rsidRDefault="007433B1" w:rsidP="00A256C9">
            <w:pPr>
              <w:spacing w:after="0" w:line="240" w:lineRule="auto"/>
              <w:jc w:val="right"/>
              <w:rPr>
                <w:rFonts w:ascii="Aptos" w:eastAsia="Times New Roman" w:hAnsi="Aptos" w:cs="Arial"/>
                <w:color w:val="000000"/>
                <w:sz w:val="20"/>
                <w:szCs w:val="20"/>
              </w:rPr>
            </w:pPr>
            <w:r w:rsidRPr="000A4369">
              <w:rPr>
                <w:rFonts w:ascii="Aptos" w:eastAsia="Times New Roman" w:hAnsi="Aptos" w:cs="Arial"/>
                <w:color w:val="000000"/>
                <w:sz w:val="20"/>
                <w:szCs w:val="20"/>
              </w:rPr>
              <w:t xml:space="preserve">$15,836,229 </w:t>
            </w:r>
          </w:p>
        </w:tc>
      </w:tr>
      <w:tr w:rsidR="007433B1" w:rsidRPr="000A4369" w14:paraId="64226FBE" w14:textId="77777777" w:rsidTr="00A256C9">
        <w:trPr>
          <w:trHeight w:val="300"/>
          <w:jc w:val="center"/>
        </w:trPr>
        <w:tc>
          <w:tcPr>
            <w:tcW w:w="1111" w:type="dxa"/>
            <w:tcBorders>
              <w:top w:val="nil"/>
              <w:left w:val="single" w:sz="8" w:space="0" w:color="auto"/>
              <w:bottom w:val="nil"/>
              <w:right w:val="nil"/>
            </w:tcBorders>
            <w:noWrap/>
            <w:vAlign w:val="center"/>
            <w:hideMark/>
          </w:tcPr>
          <w:p w14:paraId="710B6BCE" w14:textId="77777777" w:rsidR="007433B1" w:rsidRPr="000A4369" w:rsidRDefault="007433B1" w:rsidP="00A256C9">
            <w:pPr>
              <w:spacing w:after="0" w:line="240" w:lineRule="auto"/>
              <w:jc w:val="center"/>
              <w:rPr>
                <w:rFonts w:ascii="Aptos" w:eastAsia="Times New Roman" w:hAnsi="Aptos" w:cs="Arial"/>
                <w:color w:val="000000"/>
                <w:sz w:val="20"/>
                <w:szCs w:val="20"/>
              </w:rPr>
            </w:pPr>
            <w:r w:rsidRPr="000A4369">
              <w:rPr>
                <w:rFonts w:ascii="Aptos" w:eastAsia="Times New Roman" w:hAnsi="Aptos" w:cs="Arial"/>
                <w:color w:val="000000"/>
                <w:sz w:val="20"/>
                <w:szCs w:val="20"/>
              </w:rPr>
              <w:t>799000</w:t>
            </w:r>
          </w:p>
        </w:tc>
        <w:tc>
          <w:tcPr>
            <w:tcW w:w="3743" w:type="dxa"/>
            <w:tcBorders>
              <w:top w:val="nil"/>
              <w:left w:val="nil"/>
              <w:bottom w:val="nil"/>
              <w:right w:val="nil"/>
            </w:tcBorders>
            <w:noWrap/>
            <w:vAlign w:val="center"/>
            <w:hideMark/>
          </w:tcPr>
          <w:p w14:paraId="5E33BF89" w14:textId="77777777" w:rsidR="007433B1" w:rsidRPr="000A4369" w:rsidRDefault="007433B1" w:rsidP="00A256C9">
            <w:pPr>
              <w:spacing w:after="0" w:line="240" w:lineRule="auto"/>
              <w:rPr>
                <w:rFonts w:ascii="Aptos" w:eastAsia="Times New Roman" w:hAnsi="Aptos" w:cs="Arial"/>
                <w:color w:val="000000"/>
                <w:sz w:val="20"/>
                <w:szCs w:val="20"/>
              </w:rPr>
            </w:pPr>
            <w:r w:rsidRPr="000A4369">
              <w:rPr>
                <w:rFonts w:ascii="Aptos" w:eastAsia="Times New Roman" w:hAnsi="Aptos" w:cs="Arial"/>
                <w:color w:val="000000"/>
                <w:sz w:val="20"/>
                <w:szCs w:val="20"/>
              </w:rPr>
              <w:t>Reserve for Contingency</w:t>
            </w:r>
          </w:p>
        </w:tc>
        <w:tc>
          <w:tcPr>
            <w:tcW w:w="2453" w:type="dxa"/>
            <w:tcBorders>
              <w:top w:val="nil"/>
              <w:left w:val="nil"/>
              <w:bottom w:val="nil"/>
              <w:right w:val="nil"/>
            </w:tcBorders>
            <w:noWrap/>
            <w:vAlign w:val="center"/>
            <w:hideMark/>
          </w:tcPr>
          <w:p w14:paraId="0247D4CC" w14:textId="77777777" w:rsidR="007433B1" w:rsidRPr="000A4369" w:rsidRDefault="007433B1" w:rsidP="00A256C9">
            <w:pPr>
              <w:spacing w:after="0" w:line="240" w:lineRule="auto"/>
              <w:rPr>
                <w:rFonts w:ascii="Aptos" w:eastAsia="Times New Roman" w:hAnsi="Aptos" w:cs="Arial"/>
                <w:color w:val="000000"/>
                <w:sz w:val="20"/>
                <w:szCs w:val="20"/>
              </w:rPr>
            </w:pPr>
            <w:r w:rsidRPr="000A4369">
              <w:rPr>
                <w:rFonts w:ascii="Aptos" w:eastAsia="Times New Roman" w:hAnsi="Aptos" w:cs="Arial"/>
                <w:color w:val="000000"/>
                <w:sz w:val="20"/>
                <w:szCs w:val="20"/>
              </w:rPr>
              <w:t>Unrestricted Reserves</w:t>
            </w:r>
          </w:p>
        </w:tc>
        <w:tc>
          <w:tcPr>
            <w:tcW w:w="1533" w:type="dxa"/>
            <w:tcBorders>
              <w:top w:val="nil"/>
              <w:left w:val="nil"/>
              <w:bottom w:val="nil"/>
              <w:right w:val="single" w:sz="8" w:space="0" w:color="auto"/>
            </w:tcBorders>
            <w:noWrap/>
            <w:vAlign w:val="center"/>
            <w:hideMark/>
          </w:tcPr>
          <w:p w14:paraId="18BB4A69" w14:textId="77777777" w:rsidR="007433B1" w:rsidRPr="000A4369" w:rsidRDefault="007433B1" w:rsidP="00A256C9">
            <w:pPr>
              <w:spacing w:after="0" w:line="240" w:lineRule="auto"/>
              <w:jc w:val="right"/>
              <w:rPr>
                <w:rFonts w:ascii="Aptos" w:eastAsia="Times New Roman" w:hAnsi="Aptos" w:cs="Arial"/>
                <w:color w:val="000000"/>
                <w:sz w:val="20"/>
                <w:szCs w:val="20"/>
                <w:u w:val="single"/>
              </w:rPr>
            </w:pPr>
            <w:r w:rsidRPr="000A4369">
              <w:rPr>
                <w:rFonts w:ascii="Aptos" w:eastAsia="Times New Roman" w:hAnsi="Aptos" w:cs="Arial"/>
                <w:color w:val="000000"/>
                <w:sz w:val="20"/>
                <w:szCs w:val="20"/>
                <w:u w:val="single"/>
              </w:rPr>
              <w:t xml:space="preserve">$8,059,654 </w:t>
            </w:r>
          </w:p>
        </w:tc>
      </w:tr>
      <w:tr w:rsidR="007433B1" w:rsidRPr="000A4369" w14:paraId="419E7FBF" w14:textId="77777777" w:rsidTr="00A256C9">
        <w:trPr>
          <w:trHeight w:val="300"/>
          <w:jc w:val="center"/>
        </w:trPr>
        <w:tc>
          <w:tcPr>
            <w:tcW w:w="1111" w:type="dxa"/>
            <w:tcBorders>
              <w:top w:val="nil"/>
              <w:left w:val="single" w:sz="8" w:space="0" w:color="auto"/>
              <w:bottom w:val="nil"/>
              <w:right w:val="nil"/>
            </w:tcBorders>
            <w:noWrap/>
            <w:vAlign w:val="bottom"/>
            <w:hideMark/>
          </w:tcPr>
          <w:p w14:paraId="1825B573" w14:textId="77777777" w:rsidR="007433B1" w:rsidRPr="000A4369" w:rsidRDefault="007433B1" w:rsidP="00A256C9">
            <w:pPr>
              <w:spacing w:after="0" w:line="240" w:lineRule="auto"/>
              <w:rPr>
                <w:rFonts w:ascii="Aptos" w:eastAsia="Times New Roman" w:hAnsi="Aptos"/>
                <w:color w:val="000000"/>
                <w:sz w:val="20"/>
                <w:szCs w:val="20"/>
              </w:rPr>
            </w:pPr>
            <w:r w:rsidRPr="000A4369">
              <w:rPr>
                <w:rFonts w:ascii="Aptos" w:eastAsia="Times New Roman" w:hAnsi="Aptos"/>
                <w:color w:val="000000"/>
                <w:sz w:val="20"/>
                <w:szCs w:val="20"/>
              </w:rPr>
              <w:t> </w:t>
            </w:r>
          </w:p>
        </w:tc>
        <w:tc>
          <w:tcPr>
            <w:tcW w:w="3743" w:type="dxa"/>
            <w:tcBorders>
              <w:top w:val="nil"/>
              <w:left w:val="nil"/>
              <w:bottom w:val="nil"/>
              <w:right w:val="nil"/>
            </w:tcBorders>
            <w:noWrap/>
            <w:vAlign w:val="center"/>
            <w:hideMark/>
          </w:tcPr>
          <w:p w14:paraId="79AEC60E" w14:textId="77777777" w:rsidR="007433B1" w:rsidRPr="000A4369" w:rsidRDefault="007433B1" w:rsidP="00A256C9">
            <w:pPr>
              <w:spacing w:after="0" w:line="240" w:lineRule="auto"/>
              <w:rPr>
                <w:rFonts w:ascii="Aptos" w:eastAsia="Times New Roman" w:hAnsi="Aptos"/>
                <w:color w:val="000000"/>
                <w:sz w:val="20"/>
                <w:szCs w:val="20"/>
              </w:rPr>
            </w:pPr>
          </w:p>
        </w:tc>
        <w:tc>
          <w:tcPr>
            <w:tcW w:w="2453" w:type="dxa"/>
            <w:tcBorders>
              <w:top w:val="nil"/>
              <w:left w:val="nil"/>
              <w:bottom w:val="nil"/>
              <w:right w:val="nil"/>
            </w:tcBorders>
            <w:noWrap/>
            <w:vAlign w:val="center"/>
            <w:hideMark/>
          </w:tcPr>
          <w:p w14:paraId="40F0F9A7" w14:textId="77777777" w:rsidR="007433B1" w:rsidRPr="000A4369" w:rsidRDefault="007433B1" w:rsidP="00A256C9">
            <w:pPr>
              <w:spacing w:after="0" w:line="240" w:lineRule="auto"/>
              <w:jc w:val="right"/>
              <w:rPr>
                <w:rFonts w:ascii="Aptos" w:eastAsia="Times New Roman" w:hAnsi="Aptos" w:cs="Arial"/>
                <w:color w:val="000000"/>
                <w:sz w:val="20"/>
                <w:szCs w:val="20"/>
              </w:rPr>
            </w:pPr>
            <w:r w:rsidRPr="000A4369">
              <w:rPr>
                <w:rFonts w:ascii="Aptos" w:eastAsia="Times New Roman" w:hAnsi="Aptos" w:cs="Arial"/>
                <w:color w:val="000000"/>
                <w:sz w:val="20"/>
                <w:szCs w:val="20"/>
              </w:rPr>
              <w:t>Total</w:t>
            </w:r>
          </w:p>
        </w:tc>
        <w:tc>
          <w:tcPr>
            <w:tcW w:w="1533" w:type="dxa"/>
            <w:tcBorders>
              <w:top w:val="nil"/>
              <w:left w:val="nil"/>
              <w:bottom w:val="nil"/>
              <w:right w:val="single" w:sz="8" w:space="0" w:color="auto"/>
            </w:tcBorders>
            <w:noWrap/>
            <w:vAlign w:val="center"/>
            <w:hideMark/>
          </w:tcPr>
          <w:p w14:paraId="77A64B2A" w14:textId="77777777" w:rsidR="007433B1" w:rsidRPr="000A4369" w:rsidRDefault="007433B1" w:rsidP="00A256C9">
            <w:pPr>
              <w:spacing w:after="0" w:line="240" w:lineRule="auto"/>
              <w:jc w:val="right"/>
              <w:rPr>
                <w:rFonts w:ascii="Aptos" w:eastAsia="Times New Roman" w:hAnsi="Aptos" w:cs="Arial"/>
                <w:color w:val="000000"/>
                <w:sz w:val="20"/>
                <w:szCs w:val="20"/>
                <w:u w:val="double"/>
              </w:rPr>
            </w:pPr>
            <w:r w:rsidRPr="000A4369">
              <w:rPr>
                <w:rFonts w:ascii="Aptos" w:eastAsia="Times New Roman" w:hAnsi="Aptos" w:cs="Arial"/>
                <w:color w:val="000000"/>
                <w:sz w:val="20"/>
                <w:szCs w:val="20"/>
                <w:u w:val="double"/>
              </w:rPr>
              <w:t xml:space="preserve">$23,895,883 </w:t>
            </w:r>
          </w:p>
        </w:tc>
      </w:tr>
      <w:tr w:rsidR="007433B1" w:rsidRPr="000A4369" w14:paraId="08724069" w14:textId="77777777" w:rsidTr="00A256C9">
        <w:trPr>
          <w:trHeight w:val="315"/>
          <w:jc w:val="center"/>
        </w:trPr>
        <w:tc>
          <w:tcPr>
            <w:tcW w:w="1111" w:type="dxa"/>
            <w:tcBorders>
              <w:top w:val="nil"/>
              <w:left w:val="single" w:sz="8" w:space="0" w:color="auto"/>
              <w:bottom w:val="single" w:sz="8" w:space="0" w:color="auto"/>
              <w:right w:val="nil"/>
            </w:tcBorders>
            <w:noWrap/>
            <w:vAlign w:val="bottom"/>
            <w:hideMark/>
          </w:tcPr>
          <w:p w14:paraId="78979508" w14:textId="77777777" w:rsidR="007433B1" w:rsidRPr="000A4369" w:rsidRDefault="007433B1" w:rsidP="00A256C9">
            <w:pPr>
              <w:spacing w:after="0" w:line="240" w:lineRule="auto"/>
              <w:rPr>
                <w:rFonts w:ascii="Aptos" w:eastAsia="Times New Roman" w:hAnsi="Aptos"/>
                <w:color w:val="000000"/>
                <w:sz w:val="20"/>
                <w:szCs w:val="20"/>
              </w:rPr>
            </w:pPr>
            <w:r w:rsidRPr="000A4369">
              <w:rPr>
                <w:rFonts w:ascii="Aptos" w:eastAsia="Times New Roman" w:hAnsi="Aptos"/>
                <w:color w:val="000000"/>
                <w:sz w:val="20"/>
                <w:szCs w:val="20"/>
              </w:rPr>
              <w:t> </w:t>
            </w:r>
          </w:p>
        </w:tc>
        <w:tc>
          <w:tcPr>
            <w:tcW w:w="3743" w:type="dxa"/>
            <w:tcBorders>
              <w:top w:val="nil"/>
              <w:left w:val="nil"/>
              <w:bottom w:val="single" w:sz="8" w:space="0" w:color="auto"/>
              <w:right w:val="nil"/>
            </w:tcBorders>
            <w:noWrap/>
            <w:vAlign w:val="center"/>
            <w:hideMark/>
          </w:tcPr>
          <w:p w14:paraId="6A3D3B28" w14:textId="77777777" w:rsidR="007433B1" w:rsidRPr="000A4369" w:rsidRDefault="007433B1" w:rsidP="00A256C9">
            <w:pPr>
              <w:spacing w:after="0" w:line="240" w:lineRule="auto"/>
              <w:rPr>
                <w:rFonts w:ascii="Aptos" w:eastAsia="Times New Roman" w:hAnsi="Aptos" w:cs="Arial"/>
                <w:color w:val="000000"/>
                <w:sz w:val="20"/>
                <w:szCs w:val="20"/>
              </w:rPr>
            </w:pPr>
            <w:r w:rsidRPr="000A4369">
              <w:rPr>
                <w:rFonts w:ascii="Aptos" w:eastAsia="Times New Roman" w:hAnsi="Aptos" w:cs="Arial"/>
                <w:color w:val="000000"/>
                <w:sz w:val="20"/>
                <w:szCs w:val="20"/>
              </w:rPr>
              <w:t> </w:t>
            </w:r>
          </w:p>
        </w:tc>
        <w:tc>
          <w:tcPr>
            <w:tcW w:w="2453" w:type="dxa"/>
            <w:tcBorders>
              <w:top w:val="nil"/>
              <w:left w:val="nil"/>
              <w:bottom w:val="single" w:sz="8" w:space="0" w:color="auto"/>
              <w:right w:val="nil"/>
            </w:tcBorders>
            <w:noWrap/>
            <w:vAlign w:val="center"/>
            <w:hideMark/>
          </w:tcPr>
          <w:p w14:paraId="4A13530F" w14:textId="77777777" w:rsidR="007433B1" w:rsidRPr="000A4369" w:rsidRDefault="007433B1" w:rsidP="00A256C9">
            <w:pPr>
              <w:spacing w:after="0" w:line="240" w:lineRule="auto"/>
              <w:jc w:val="right"/>
              <w:rPr>
                <w:rFonts w:ascii="Aptos" w:eastAsia="Times New Roman" w:hAnsi="Aptos" w:cs="Arial"/>
                <w:color w:val="000000"/>
                <w:sz w:val="20"/>
                <w:szCs w:val="20"/>
              </w:rPr>
            </w:pPr>
            <w:r w:rsidRPr="000A4369">
              <w:rPr>
                <w:rFonts w:ascii="Aptos" w:eastAsia="Times New Roman" w:hAnsi="Aptos" w:cs="Arial"/>
                <w:color w:val="000000"/>
                <w:sz w:val="20"/>
                <w:szCs w:val="20"/>
              </w:rPr>
              <w:t>Percent of Expenses</w:t>
            </w:r>
          </w:p>
        </w:tc>
        <w:tc>
          <w:tcPr>
            <w:tcW w:w="1533" w:type="dxa"/>
            <w:tcBorders>
              <w:top w:val="nil"/>
              <w:left w:val="nil"/>
              <w:bottom w:val="single" w:sz="8" w:space="0" w:color="auto"/>
              <w:right w:val="single" w:sz="8" w:space="0" w:color="auto"/>
            </w:tcBorders>
            <w:noWrap/>
            <w:vAlign w:val="center"/>
            <w:hideMark/>
          </w:tcPr>
          <w:p w14:paraId="62664502" w14:textId="77777777" w:rsidR="007433B1" w:rsidRPr="000A4369" w:rsidRDefault="007433B1" w:rsidP="00A256C9">
            <w:pPr>
              <w:spacing w:after="0" w:line="240" w:lineRule="auto"/>
              <w:jc w:val="right"/>
              <w:rPr>
                <w:rFonts w:ascii="Aptos" w:eastAsia="Times New Roman" w:hAnsi="Aptos" w:cs="Arial"/>
                <w:color w:val="000000"/>
                <w:sz w:val="20"/>
                <w:szCs w:val="20"/>
              </w:rPr>
            </w:pPr>
            <w:r w:rsidRPr="000A4369">
              <w:rPr>
                <w:rFonts w:ascii="Aptos" w:eastAsia="Times New Roman" w:hAnsi="Aptos" w:cs="Arial"/>
                <w:color w:val="000000"/>
                <w:sz w:val="20"/>
                <w:szCs w:val="20"/>
              </w:rPr>
              <w:t>26.64%</w:t>
            </w:r>
          </w:p>
        </w:tc>
      </w:tr>
      <w:tr w:rsidR="007433B1" w:rsidRPr="000A4369" w14:paraId="0498B935" w14:textId="77777777" w:rsidTr="00A256C9">
        <w:trPr>
          <w:trHeight w:val="315"/>
          <w:jc w:val="center"/>
        </w:trPr>
        <w:tc>
          <w:tcPr>
            <w:tcW w:w="1111" w:type="dxa"/>
            <w:tcBorders>
              <w:top w:val="nil"/>
              <w:left w:val="nil"/>
              <w:bottom w:val="nil"/>
              <w:right w:val="nil"/>
            </w:tcBorders>
            <w:noWrap/>
            <w:vAlign w:val="bottom"/>
            <w:hideMark/>
          </w:tcPr>
          <w:p w14:paraId="221DB817" w14:textId="77777777" w:rsidR="007433B1" w:rsidRPr="000A4369" w:rsidRDefault="007433B1" w:rsidP="00A256C9">
            <w:pPr>
              <w:spacing w:after="0" w:line="240" w:lineRule="auto"/>
              <w:rPr>
                <w:rFonts w:ascii="Aptos" w:eastAsia="Times New Roman" w:hAnsi="Aptos"/>
                <w:sz w:val="20"/>
                <w:szCs w:val="20"/>
              </w:rPr>
            </w:pPr>
          </w:p>
        </w:tc>
        <w:tc>
          <w:tcPr>
            <w:tcW w:w="3743" w:type="dxa"/>
            <w:tcBorders>
              <w:top w:val="nil"/>
              <w:left w:val="nil"/>
              <w:bottom w:val="nil"/>
              <w:right w:val="nil"/>
            </w:tcBorders>
            <w:noWrap/>
            <w:vAlign w:val="bottom"/>
            <w:hideMark/>
          </w:tcPr>
          <w:p w14:paraId="692C09D1" w14:textId="77777777" w:rsidR="007433B1" w:rsidRPr="000A4369" w:rsidRDefault="007433B1" w:rsidP="00A256C9">
            <w:pPr>
              <w:spacing w:after="0" w:line="240" w:lineRule="auto"/>
              <w:rPr>
                <w:rFonts w:ascii="Aptos" w:eastAsia="Times New Roman" w:hAnsi="Aptos"/>
                <w:sz w:val="20"/>
                <w:szCs w:val="20"/>
              </w:rPr>
            </w:pPr>
          </w:p>
        </w:tc>
        <w:tc>
          <w:tcPr>
            <w:tcW w:w="2453" w:type="dxa"/>
            <w:tcBorders>
              <w:top w:val="single" w:sz="8" w:space="0" w:color="auto"/>
              <w:left w:val="single" w:sz="8" w:space="0" w:color="auto"/>
              <w:bottom w:val="single" w:sz="8" w:space="0" w:color="auto"/>
              <w:right w:val="nil"/>
            </w:tcBorders>
            <w:shd w:val="clear" w:color="000000" w:fill="D0D0D0"/>
            <w:noWrap/>
            <w:vAlign w:val="bottom"/>
            <w:hideMark/>
          </w:tcPr>
          <w:p w14:paraId="5981915B" w14:textId="77777777" w:rsidR="007433B1" w:rsidRPr="000A4369" w:rsidRDefault="007433B1" w:rsidP="00A256C9">
            <w:pPr>
              <w:spacing w:after="0" w:line="240" w:lineRule="auto"/>
              <w:rPr>
                <w:rFonts w:ascii="Aptos" w:eastAsia="Times New Roman" w:hAnsi="Aptos"/>
                <w:b/>
                <w:bCs/>
                <w:color w:val="000000"/>
                <w:sz w:val="20"/>
                <w:szCs w:val="20"/>
              </w:rPr>
            </w:pPr>
            <w:r w:rsidRPr="000A4369">
              <w:rPr>
                <w:rFonts w:ascii="Aptos" w:eastAsia="Times New Roman" w:hAnsi="Aptos"/>
                <w:b/>
                <w:bCs/>
                <w:color w:val="000000"/>
                <w:sz w:val="20"/>
                <w:szCs w:val="20"/>
              </w:rPr>
              <w:t>Total Reserves</w:t>
            </w:r>
          </w:p>
        </w:tc>
        <w:tc>
          <w:tcPr>
            <w:tcW w:w="1533" w:type="dxa"/>
            <w:tcBorders>
              <w:top w:val="single" w:sz="8" w:space="0" w:color="auto"/>
              <w:left w:val="nil"/>
              <w:bottom w:val="single" w:sz="8" w:space="0" w:color="auto"/>
              <w:right w:val="single" w:sz="8" w:space="0" w:color="auto"/>
            </w:tcBorders>
            <w:shd w:val="clear" w:color="000000" w:fill="D0D0D0"/>
            <w:noWrap/>
            <w:vAlign w:val="bottom"/>
            <w:hideMark/>
          </w:tcPr>
          <w:p w14:paraId="5AB2489E" w14:textId="77777777" w:rsidR="007433B1" w:rsidRPr="000A4369" w:rsidRDefault="007433B1" w:rsidP="00A256C9">
            <w:pPr>
              <w:spacing w:after="0" w:line="240" w:lineRule="auto"/>
              <w:jc w:val="right"/>
              <w:rPr>
                <w:rFonts w:ascii="Aptos" w:eastAsia="Times New Roman" w:hAnsi="Aptos"/>
                <w:b/>
                <w:bCs/>
                <w:color w:val="000000"/>
                <w:sz w:val="20"/>
                <w:szCs w:val="20"/>
              </w:rPr>
            </w:pPr>
            <w:r w:rsidRPr="000A4369">
              <w:rPr>
                <w:rFonts w:ascii="Aptos" w:eastAsia="Times New Roman" w:hAnsi="Aptos"/>
                <w:b/>
                <w:bCs/>
                <w:color w:val="000000"/>
                <w:sz w:val="20"/>
                <w:szCs w:val="20"/>
              </w:rPr>
              <w:t xml:space="preserve">$29,249,627 </w:t>
            </w:r>
          </w:p>
        </w:tc>
      </w:tr>
    </w:tbl>
    <w:p w14:paraId="4E2FA1A1" w14:textId="24B978EC" w:rsidR="00555733" w:rsidRPr="000A4369" w:rsidRDefault="00555733" w:rsidP="001F09D1">
      <w:pPr>
        <w:spacing w:after="0" w:line="259" w:lineRule="auto"/>
        <w:jc w:val="center"/>
        <w:rPr>
          <w:rFonts w:ascii="Aptos" w:hAnsi="Aptos"/>
          <w:sz w:val="20"/>
          <w:szCs w:val="20"/>
        </w:rPr>
      </w:pPr>
    </w:p>
    <w:sectPr w:rsidR="00555733" w:rsidRPr="000A436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17532" w14:textId="77777777" w:rsidR="000251BA" w:rsidRDefault="000251BA" w:rsidP="002D30EA">
      <w:pPr>
        <w:spacing w:after="0" w:line="240" w:lineRule="auto"/>
      </w:pPr>
      <w:r>
        <w:separator/>
      </w:r>
    </w:p>
  </w:endnote>
  <w:endnote w:type="continuationSeparator" w:id="0">
    <w:p w14:paraId="76F4803F" w14:textId="77777777" w:rsidR="000251BA" w:rsidRDefault="000251BA" w:rsidP="002D3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96848" w14:textId="3D9CBF77" w:rsidR="002D30EA" w:rsidRPr="002D30EA" w:rsidRDefault="00F67717" w:rsidP="005B2097">
    <w:pPr>
      <w:pStyle w:val="Footer"/>
      <w:pBdr>
        <w:top w:val="single" w:sz="4" w:space="6" w:color="auto"/>
      </w:pBdr>
      <w:tabs>
        <w:tab w:val="clear" w:pos="4680"/>
      </w:tabs>
      <w:rPr>
        <w:sz w:val="20"/>
        <w:szCs w:val="20"/>
      </w:rPr>
    </w:pPr>
    <w:r>
      <w:rPr>
        <w:sz w:val="20"/>
        <w:szCs w:val="20"/>
      </w:rPr>
      <w:t>AHC Financial Overview</w:t>
    </w:r>
    <w:r w:rsidR="002D30EA">
      <w:rPr>
        <w:sz w:val="20"/>
        <w:szCs w:val="20"/>
      </w:rPr>
      <w:tab/>
    </w:r>
    <w:r w:rsidR="002D30EA" w:rsidRPr="002D30EA">
      <w:rPr>
        <w:sz w:val="20"/>
        <w:szCs w:val="20"/>
      </w:rPr>
      <w:fldChar w:fldCharType="begin"/>
    </w:r>
    <w:r w:rsidR="002D30EA" w:rsidRPr="002D30EA">
      <w:rPr>
        <w:sz w:val="20"/>
        <w:szCs w:val="20"/>
      </w:rPr>
      <w:instrText xml:space="preserve"> PAGE   \* MERGEFORMAT </w:instrText>
    </w:r>
    <w:r w:rsidR="002D30EA" w:rsidRPr="002D30EA">
      <w:rPr>
        <w:sz w:val="20"/>
        <w:szCs w:val="20"/>
      </w:rPr>
      <w:fldChar w:fldCharType="separate"/>
    </w:r>
    <w:r w:rsidR="002D30EA" w:rsidRPr="002D30EA">
      <w:rPr>
        <w:b/>
        <w:bCs/>
        <w:noProof/>
        <w:sz w:val="20"/>
        <w:szCs w:val="20"/>
      </w:rPr>
      <w:t>1</w:t>
    </w:r>
    <w:r w:rsidR="002D30EA" w:rsidRPr="002D30EA">
      <w:rPr>
        <w:b/>
        <w:bCs/>
        <w:noProof/>
        <w:sz w:val="20"/>
        <w:szCs w:val="20"/>
      </w:rPr>
      <w:fldChar w:fldCharType="end"/>
    </w:r>
    <w:r w:rsidR="002D30EA" w:rsidRPr="002D30EA">
      <w:rPr>
        <w:b/>
        <w:bCs/>
        <w:sz w:val="20"/>
        <w:szCs w:val="20"/>
      </w:rPr>
      <w:t xml:space="preserve"> </w:t>
    </w:r>
    <w:r w:rsidR="002D30EA" w:rsidRPr="002D30EA">
      <w:rPr>
        <w:sz w:val="20"/>
        <w:szCs w:val="20"/>
      </w:rPr>
      <w:t>|</w:t>
    </w:r>
    <w:r w:rsidR="002D30EA" w:rsidRPr="002D30EA">
      <w:rPr>
        <w:b/>
        <w:bCs/>
        <w:sz w:val="20"/>
        <w:szCs w:val="20"/>
      </w:rPr>
      <w:t xml:space="preserve"> </w:t>
    </w:r>
    <w:r w:rsidR="002D30EA" w:rsidRPr="002D30EA">
      <w:rPr>
        <w:color w:val="7F7F7F" w:themeColor="background1" w:themeShade="7F"/>
        <w:spacing w:val="60"/>
        <w:sz w:val="20"/>
        <w:szCs w:val="2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4AF5A" w14:textId="77777777" w:rsidR="000251BA" w:rsidRDefault="000251BA" w:rsidP="002D30EA">
      <w:pPr>
        <w:spacing w:after="0" w:line="240" w:lineRule="auto"/>
      </w:pPr>
      <w:r>
        <w:separator/>
      </w:r>
    </w:p>
  </w:footnote>
  <w:footnote w:type="continuationSeparator" w:id="0">
    <w:p w14:paraId="3D613A73" w14:textId="77777777" w:rsidR="000251BA" w:rsidRDefault="000251BA" w:rsidP="002D3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4096A" w14:textId="77777777" w:rsidR="002D30EA" w:rsidRDefault="002D30EA" w:rsidP="002D30EA">
    <w:pPr>
      <w:pStyle w:val="Header"/>
      <w:tabs>
        <w:tab w:val="clear" w:pos="4680"/>
        <w:tab w:val="clear" w:pos="9360"/>
        <w:tab w:val="right" w:pos="14040"/>
      </w:tabs>
    </w:pPr>
    <w:r>
      <w:rPr>
        <w:noProof/>
      </w:rPr>
      <w:drawing>
        <wp:inline distT="0" distB="0" distL="0" distR="0" wp14:anchorId="42BA004C" wp14:editId="74AA46D0">
          <wp:extent cx="1474669" cy="646430"/>
          <wp:effectExtent l="0" t="0" r="0" b="1270"/>
          <wp:docPr id="1544368729"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68729" name="Picture 1" descr="A blue and white logo&#10;&#10;AI-generated content may be incorrect."/>
                  <pic:cNvPicPr/>
                </pic:nvPicPr>
                <pic:blipFill rotWithShape="1">
                  <a:blip r:embed="rId1">
                    <a:extLst>
                      <a:ext uri="{28A0092B-C50C-407E-A947-70E740481C1C}">
                        <a14:useLocalDpi xmlns:a14="http://schemas.microsoft.com/office/drawing/2010/main" val="0"/>
                      </a:ext>
                    </a:extLst>
                  </a:blip>
                  <a:srcRect l="23930" t="29780" r="24691" b="30180"/>
                  <a:stretch/>
                </pic:blipFill>
                <pic:spPr bwMode="auto">
                  <a:xfrm>
                    <a:off x="0" y="0"/>
                    <a:ext cx="1493123" cy="654520"/>
                  </a:xfrm>
                  <a:prstGeom prst="rect">
                    <a:avLst/>
                  </a:prstGeom>
                  <a:ln>
                    <a:noFill/>
                  </a:ln>
                  <a:extLst>
                    <a:ext uri="{53640926-AAD7-44D8-BBD7-CCE9431645EC}">
                      <a14:shadowObscured xmlns:a14="http://schemas.microsoft.com/office/drawing/2010/main"/>
                    </a:ext>
                  </a:extLst>
                </pic:spPr>
              </pic:pic>
            </a:graphicData>
          </a:graphic>
        </wp:inline>
      </w:drawing>
    </w:r>
    <w:r>
      <w:tab/>
    </w:r>
    <w:r>
      <w:rPr>
        <w:noProof/>
      </w:rPr>
      <w:drawing>
        <wp:inline distT="0" distB="0" distL="0" distR="0" wp14:anchorId="436B8649" wp14:editId="0F0B6794">
          <wp:extent cx="666750" cy="666750"/>
          <wp:effectExtent l="0" t="0" r="0" b="0"/>
          <wp:docPr id="123509388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093881" name="Picture 1" descr="A black and white logo&#10;&#10;AI-generated content may be incorrect."/>
                  <pic:cNvPicPr/>
                </pic:nvPicPr>
                <pic:blipFill>
                  <a:blip r:embed="rId2"/>
                  <a:stretch>
                    <a:fillRect/>
                  </a:stretch>
                </pic:blipFill>
                <pic:spPr>
                  <a:xfrm>
                    <a:off x="0" y="0"/>
                    <a:ext cx="666781" cy="666781"/>
                  </a:xfrm>
                  <a:prstGeom prst="rect">
                    <a:avLst/>
                  </a:prstGeom>
                </pic:spPr>
              </pic:pic>
            </a:graphicData>
          </a:graphic>
        </wp:inline>
      </w:drawing>
    </w:r>
  </w:p>
  <w:p w14:paraId="5B10C955" w14:textId="77777777" w:rsidR="002D30EA" w:rsidRDefault="002D3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589A"/>
    <w:multiLevelType w:val="hybridMultilevel"/>
    <w:tmpl w:val="B2CA96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7748FC"/>
    <w:multiLevelType w:val="hybridMultilevel"/>
    <w:tmpl w:val="5CFEDE9E"/>
    <w:lvl w:ilvl="0" w:tplc="C61CB2D4">
      <w:start w:val="1"/>
      <w:numFmt w:val="bullet"/>
      <w:lvlText w:val="•"/>
      <w:lvlJc w:val="left"/>
      <w:pPr>
        <w:tabs>
          <w:tab w:val="num" w:pos="360"/>
        </w:tabs>
        <w:ind w:left="360" w:hanging="360"/>
      </w:pPr>
      <w:rPr>
        <w:rFonts w:ascii="Arial" w:hAnsi="Arial" w:hint="default"/>
      </w:rPr>
    </w:lvl>
    <w:lvl w:ilvl="1" w:tplc="DEC8571A" w:tentative="1">
      <w:start w:val="1"/>
      <w:numFmt w:val="bullet"/>
      <w:lvlText w:val="•"/>
      <w:lvlJc w:val="left"/>
      <w:pPr>
        <w:tabs>
          <w:tab w:val="num" w:pos="1080"/>
        </w:tabs>
        <w:ind w:left="1080" w:hanging="360"/>
      </w:pPr>
      <w:rPr>
        <w:rFonts w:ascii="Arial" w:hAnsi="Arial" w:hint="default"/>
      </w:rPr>
    </w:lvl>
    <w:lvl w:ilvl="2" w:tplc="020E288A" w:tentative="1">
      <w:start w:val="1"/>
      <w:numFmt w:val="bullet"/>
      <w:lvlText w:val="•"/>
      <w:lvlJc w:val="left"/>
      <w:pPr>
        <w:tabs>
          <w:tab w:val="num" w:pos="1800"/>
        </w:tabs>
        <w:ind w:left="1800" w:hanging="360"/>
      </w:pPr>
      <w:rPr>
        <w:rFonts w:ascii="Arial" w:hAnsi="Arial" w:hint="default"/>
      </w:rPr>
    </w:lvl>
    <w:lvl w:ilvl="3" w:tplc="9F14527E" w:tentative="1">
      <w:start w:val="1"/>
      <w:numFmt w:val="bullet"/>
      <w:lvlText w:val="•"/>
      <w:lvlJc w:val="left"/>
      <w:pPr>
        <w:tabs>
          <w:tab w:val="num" w:pos="2520"/>
        </w:tabs>
        <w:ind w:left="2520" w:hanging="360"/>
      </w:pPr>
      <w:rPr>
        <w:rFonts w:ascii="Arial" w:hAnsi="Arial" w:hint="default"/>
      </w:rPr>
    </w:lvl>
    <w:lvl w:ilvl="4" w:tplc="367A5AF2" w:tentative="1">
      <w:start w:val="1"/>
      <w:numFmt w:val="bullet"/>
      <w:lvlText w:val="•"/>
      <w:lvlJc w:val="left"/>
      <w:pPr>
        <w:tabs>
          <w:tab w:val="num" w:pos="3240"/>
        </w:tabs>
        <w:ind w:left="3240" w:hanging="360"/>
      </w:pPr>
      <w:rPr>
        <w:rFonts w:ascii="Arial" w:hAnsi="Arial" w:hint="default"/>
      </w:rPr>
    </w:lvl>
    <w:lvl w:ilvl="5" w:tplc="7AE08894" w:tentative="1">
      <w:start w:val="1"/>
      <w:numFmt w:val="bullet"/>
      <w:lvlText w:val="•"/>
      <w:lvlJc w:val="left"/>
      <w:pPr>
        <w:tabs>
          <w:tab w:val="num" w:pos="3960"/>
        </w:tabs>
        <w:ind w:left="3960" w:hanging="360"/>
      </w:pPr>
      <w:rPr>
        <w:rFonts w:ascii="Arial" w:hAnsi="Arial" w:hint="default"/>
      </w:rPr>
    </w:lvl>
    <w:lvl w:ilvl="6" w:tplc="2EF83CDE" w:tentative="1">
      <w:start w:val="1"/>
      <w:numFmt w:val="bullet"/>
      <w:lvlText w:val="•"/>
      <w:lvlJc w:val="left"/>
      <w:pPr>
        <w:tabs>
          <w:tab w:val="num" w:pos="4680"/>
        </w:tabs>
        <w:ind w:left="4680" w:hanging="360"/>
      </w:pPr>
      <w:rPr>
        <w:rFonts w:ascii="Arial" w:hAnsi="Arial" w:hint="default"/>
      </w:rPr>
    </w:lvl>
    <w:lvl w:ilvl="7" w:tplc="761A4F86" w:tentative="1">
      <w:start w:val="1"/>
      <w:numFmt w:val="bullet"/>
      <w:lvlText w:val="•"/>
      <w:lvlJc w:val="left"/>
      <w:pPr>
        <w:tabs>
          <w:tab w:val="num" w:pos="5400"/>
        </w:tabs>
        <w:ind w:left="5400" w:hanging="360"/>
      </w:pPr>
      <w:rPr>
        <w:rFonts w:ascii="Arial" w:hAnsi="Arial" w:hint="default"/>
      </w:rPr>
    </w:lvl>
    <w:lvl w:ilvl="8" w:tplc="6136C7E8"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1CC433C6"/>
    <w:multiLevelType w:val="hybridMultilevel"/>
    <w:tmpl w:val="BE0A0C64"/>
    <w:lvl w:ilvl="0" w:tplc="DBAAA47C">
      <w:start w:val="1"/>
      <w:numFmt w:val="bullet"/>
      <w:lvlText w:val="•"/>
      <w:lvlJc w:val="left"/>
      <w:pPr>
        <w:tabs>
          <w:tab w:val="num" w:pos="720"/>
        </w:tabs>
        <w:ind w:left="720" w:hanging="360"/>
      </w:pPr>
      <w:rPr>
        <w:rFonts w:ascii="Arial" w:hAnsi="Arial" w:hint="default"/>
      </w:rPr>
    </w:lvl>
    <w:lvl w:ilvl="1" w:tplc="A33221BC" w:tentative="1">
      <w:start w:val="1"/>
      <w:numFmt w:val="bullet"/>
      <w:lvlText w:val="•"/>
      <w:lvlJc w:val="left"/>
      <w:pPr>
        <w:tabs>
          <w:tab w:val="num" w:pos="1440"/>
        </w:tabs>
        <w:ind w:left="1440" w:hanging="360"/>
      </w:pPr>
      <w:rPr>
        <w:rFonts w:ascii="Arial" w:hAnsi="Arial" w:hint="default"/>
      </w:rPr>
    </w:lvl>
    <w:lvl w:ilvl="2" w:tplc="835279E2" w:tentative="1">
      <w:start w:val="1"/>
      <w:numFmt w:val="bullet"/>
      <w:lvlText w:val="•"/>
      <w:lvlJc w:val="left"/>
      <w:pPr>
        <w:tabs>
          <w:tab w:val="num" w:pos="2160"/>
        </w:tabs>
        <w:ind w:left="2160" w:hanging="360"/>
      </w:pPr>
      <w:rPr>
        <w:rFonts w:ascii="Arial" w:hAnsi="Arial" w:hint="default"/>
      </w:rPr>
    </w:lvl>
    <w:lvl w:ilvl="3" w:tplc="304AE504" w:tentative="1">
      <w:start w:val="1"/>
      <w:numFmt w:val="bullet"/>
      <w:lvlText w:val="•"/>
      <w:lvlJc w:val="left"/>
      <w:pPr>
        <w:tabs>
          <w:tab w:val="num" w:pos="2880"/>
        </w:tabs>
        <w:ind w:left="2880" w:hanging="360"/>
      </w:pPr>
      <w:rPr>
        <w:rFonts w:ascii="Arial" w:hAnsi="Arial" w:hint="default"/>
      </w:rPr>
    </w:lvl>
    <w:lvl w:ilvl="4" w:tplc="780E115A" w:tentative="1">
      <w:start w:val="1"/>
      <w:numFmt w:val="bullet"/>
      <w:lvlText w:val="•"/>
      <w:lvlJc w:val="left"/>
      <w:pPr>
        <w:tabs>
          <w:tab w:val="num" w:pos="3600"/>
        </w:tabs>
        <w:ind w:left="3600" w:hanging="360"/>
      </w:pPr>
      <w:rPr>
        <w:rFonts w:ascii="Arial" w:hAnsi="Arial" w:hint="default"/>
      </w:rPr>
    </w:lvl>
    <w:lvl w:ilvl="5" w:tplc="0D14200A" w:tentative="1">
      <w:start w:val="1"/>
      <w:numFmt w:val="bullet"/>
      <w:lvlText w:val="•"/>
      <w:lvlJc w:val="left"/>
      <w:pPr>
        <w:tabs>
          <w:tab w:val="num" w:pos="4320"/>
        </w:tabs>
        <w:ind w:left="4320" w:hanging="360"/>
      </w:pPr>
      <w:rPr>
        <w:rFonts w:ascii="Arial" w:hAnsi="Arial" w:hint="default"/>
      </w:rPr>
    </w:lvl>
    <w:lvl w:ilvl="6" w:tplc="7C369C62" w:tentative="1">
      <w:start w:val="1"/>
      <w:numFmt w:val="bullet"/>
      <w:lvlText w:val="•"/>
      <w:lvlJc w:val="left"/>
      <w:pPr>
        <w:tabs>
          <w:tab w:val="num" w:pos="5040"/>
        </w:tabs>
        <w:ind w:left="5040" w:hanging="360"/>
      </w:pPr>
      <w:rPr>
        <w:rFonts w:ascii="Arial" w:hAnsi="Arial" w:hint="default"/>
      </w:rPr>
    </w:lvl>
    <w:lvl w:ilvl="7" w:tplc="EE9EC16A" w:tentative="1">
      <w:start w:val="1"/>
      <w:numFmt w:val="bullet"/>
      <w:lvlText w:val="•"/>
      <w:lvlJc w:val="left"/>
      <w:pPr>
        <w:tabs>
          <w:tab w:val="num" w:pos="5760"/>
        </w:tabs>
        <w:ind w:left="5760" w:hanging="360"/>
      </w:pPr>
      <w:rPr>
        <w:rFonts w:ascii="Arial" w:hAnsi="Arial" w:hint="default"/>
      </w:rPr>
    </w:lvl>
    <w:lvl w:ilvl="8" w:tplc="A014B59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6600EA5"/>
    <w:multiLevelType w:val="hybridMultilevel"/>
    <w:tmpl w:val="03065FA4"/>
    <w:lvl w:ilvl="0" w:tplc="998ACA5A">
      <w:start w:val="1"/>
      <w:numFmt w:val="bullet"/>
      <w:lvlText w:val="•"/>
      <w:lvlJc w:val="left"/>
      <w:pPr>
        <w:tabs>
          <w:tab w:val="num" w:pos="720"/>
        </w:tabs>
        <w:ind w:left="720" w:hanging="360"/>
      </w:pPr>
      <w:rPr>
        <w:rFonts w:ascii="Arial" w:hAnsi="Arial" w:hint="default"/>
      </w:rPr>
    </w:lvl>
    <w:lvl w:ilvl="1" w:tplc="60D2F476" w:tentative="1">
      <w:start w:val="1"/>
      <w:numFmt w:val="bullet"/>
      <w:lvlText w:val="•"/>
      <w:lvlJc w:val="left"/>
      <w:pPr>
        <w:tabs>
          <w:tab w:val="num" w:pos="1440"/>
        </w:tabs>
        <w:ind w:left="1440" w:hanging="360"/>
      </w:pPr>
      <w:rPr>
        <w:rFonts w:ascii="Arial" w:hAnsi="Arial" w:hint="default"/>
      </w:rPr>
    </w:lvl>
    <w:lvl w:ilvl="2" w:tplc="FE6E8558" w:tentative="1">
      <w:start w:val="1"/>
      <w:numFmt w:val="bullet"/>
      <w:lvlText w:val="•"/>
      <w:lvlJc w:val="left"/>
      <w:pPr>
        <w:tabs>
          <w:tab w:val="num" w:pos="2160"/>
        </w:tabs>
        <w:ind w:left="2160" w:hanging="360"/>
      </w:pPr>
      <w:rPr>
        <w:rFonts w:ascii="Arial" w:hAnsi="Arial" w:hint="default"/>
      </w:rPr>
    </w:lvl>
    <w:lvl w:ilvl="3" w:tplc="EE5A733A" w:tentative="1">
      <w:start w:val="1"/>
      <w:numFmt w:val="bullet"/>
      <w:lvlText w:val="•"/>
      <w:lvlJc w:val="left"/>
      <w:pPr>
        <w:tabs>
          <w:tab w:val="num" w:pos="2880"/>
        </w:tabs>
        <w:ind w:left="2880" w:hanging="360"/>
      </w:pPr>
      <w:rPr>
        <w:rFonts w:ascii="Arial" w:hAnsi="Arial" w:hint="default"/>
      </w:rPr>
    </w:lvl>
    <w:lvl w:ilvl="4" w:tplc="EB34C456" w:tentative="1">
      <w:start w:val="1"/>
      <w:numFmt w:val="bullet"/>
      <w:lvlText w:val="•"/>
      <w:lvlJc w:val="left"/>
      <w:pPr>
        <w:tabs>
          <w:tab w:val="num" w:pos="3600"/>
        </w:tabs>
        <w:ind w:left="3600" w:hanging="360"/>
      </w:pPr>
      <w:rPr>
        <w:rFonts w:ascii="Arial" w:hAnsi="Arial" w:hint="default"/>
      </w:rPr>
    </w:lvl>
    <w:lvl w:ilvl="5" w:tplc="B7364910" w:tentative="1">
      <w:start w:val="1"/>
      <w:numFmt w:val="bullet"/>
      <w:lvlText w:val="•"/>
      <w:lvlJc w:val="left"/>
      <w:pPr>
        <w:tabs>
          <w:tab w:val="num" w:pos="4320"/>
        </w:tabs>
        <w:ind w:left="4320" w:hanging="360"/>
      </w:pPr>
      <w:rPr>
        <w:rFonts w:ascii="Arial" w:hAnsi="Arial" w:hint="default"/>
      </w:rPr>
    </w:lvl>
    <w:lvl w:ilvl="6" w:tplc="5B7408AA" w:tentative="1">
      <w:start w:val="1"/>
      <w:numFmt w:val="bullet"/>
      <w:lvlText w:val="•"/>
      <w:lvlJc w:val="left"/>
      <w:pPr>
        <w:tabs>
          <w:tab w:val="num" w:pos="5040"/>
        </w:tabs>
        <w:ind w:left="5040" w:hanging="360"/>
      </w:pPr>
      <w:rPr>
        <w:rFonts w:ascii="Arial" w:hAnsi="Arial" w:hint="default"/>
      </w:rPr>
    </w:lvl>
    <w:lvl w:ilvl="7" w:tplc="ADFAEBD8" w:tentative="1">
      <w:start w:val="1"/>
      <w:numFmt w:val="bullet"/>
      <w:lvlText w:val="•"/>
      <w:lvlJc w:val="left"/>
      <w:pPr>
        <w:tabs>
          <w:tab w:val="num" w:pos="5760"/>
        </w:tabs>
        <w:ind w:left="5760" w:hanging="360"/>
      </w:pPr>
      <w:rPr>
        <w:rFonts w:ascii="Arial" w:hAnsi="Arial" w:hint="default"/>
      </w:rPr>
    </w:lvl>
    <w:lvl w:ilvl="8" w:tplc="68BC654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4796203"/>
    <w:multiLevelType w:val="hybridMultilevel"/>
    <w:tmpl w:val="BBA06CFC"/>
    <w:lvl w:ilvl="0" w:tplc="8730E18E">
      <w:start w:val="1"/>
      <w:numFmt w:val="bullet"/>
      <w:lvlText w:val="•"/>
      <w:lvlJc w:val="left"/>
      <w:pPr>
        <w:tabs>
          <w:tab w:val="num" w:pos="720"/>
        </w:tabs>
        <w:ind w:left="720" w:hanging="360"/>
      </w:pPr>
      <w:rPr>
        <w:rFonts w:ascii="Arial" w:hAnsi="Arial" w:hint="default"/>
      </w:rPr>
    </w:lvl>
    <w:lvl w:ilvl="1" w:tplc="89805F08" w:tentative="1">
      <w:start w:val="1"/>
      <w:numFmt w:val="bullet"/>
      <w:lvlText w:val="•"/>
      <w:lvlJc w:val="left"/>
      <w:pPr>
        <w:tabs>
          <w:tab w:val="num" w:pos="1440"/>
        </w:tabs>
        <w:ind w:left="1440" w:hanging="360"/>
      </w:pPr>
      <w:rPr>
        <w:rFonts w:ascii="Arial" w:hAnsi="Arial" w:hint="default"/>
      </w:rPr>
    </w:lvl>
    <w:lvl w:ilvl="2" w:tplc="0E288524" w:tentative="1">
      <w:start w:val="1"/>
      <w:numFmt w:val="bullet"/>
      <w:lvlText w:val="•"/>
      <w:lvlJc w:val="left"/>
      <w:pPr>
        <w:tabs>
          <w:tab w:val="num" w:pos="2160"/>
        </w:tabs>
        <w:ind w:left="2160" w:hanging="360"/>
      </w:pPr>
      <w:rPr>
        <w:rFonts w:ascii="Arial" w:hAnsi="Arial" w:hint="default"/>
      </w:rPr>
    </w:lvl>
    <w:lvl w:ilvl="3" w:tplc="19EA7758" w:tentative="1">
      <w:start w:val="1"/>
      <w:numFmt w:val="bullet"/>
      <w:lvlText w:val="•"/>
      <w:lvlJc w:val="left"/>
      <w:pPr>
        <w:tabs>
          <w:tab w:val="num" w:pos="2880"/>
        </w:tabs>
        <w:ind w:left="2880" w:hanging="360"/>
      </w:pPr>
      <w:rPr>
        <w:rFonts w:ascii="Arial" w:hAnsi="Arial" w:hint="default"/>
      </w:rPr>
    </w:lvl>
    <w:lvl w:ilvl="4" w:tplc="0C5C9F00" w:tentative="1">
      <w:start w:val="1"/>
      <w:numFmt w:val="bullet"/>
      <w:lvlText w:val="•"/>
      <w:lvlJc w:val="left"/>
      <w:pPr>
        <w:tabs>
          <w:tab w:val="num" w:pos="3600"/>
        </w:tabs>
        <w:ind w:left="3600" w:hanging="360"/>
      </w:pPr>
      <w:rPr>
        <w:rFonts w:ascii="Arial" w:hAnsi="Arial" w:hint="default"/>
      </w:rPr>
    </w:lvl>
    <w:lvl w:ilvl="5" w:tplc="4F803DC8" w:tentative="1">
      <w:start w:val="1"/>
      <w:numFmt w:val="bullet"/>
      <w:lvlText w:val="•"/>
      <w:lvlJc w:val="left"/>
      <w:pPr>
        <w:tabs>
          <w:tab w:val="num" w:pos="4320"/>
        </w:tabs>
        <w:ind w:left="4320" w:hanging="360"/>
      </w:pPr>
      <w:rPr>
        <w:rFonts w:ascii="Arial" w:hAnsi="Arial" w:hint="default"/>
      </w:rPr>
    </w:lvl>
    <w:lvl w:ilvl="6" w:tplc="98B6113E" w:tentative="1">
      <w:start w:val="1"/>
      <w:numFmt w:val="bullet"/>
      <w:lvlText w:val="•"/>
      <w:lvlJc w:val="left"/>
      <w:pPr>
        <w:tabs>
          <w:tab w:val="num" w:pos="5040"/>
        </w:tabs>
        <w:ind w:left="5040" w:hanging="360"/>
      </w:pPr>
      <w:rPr>
        <w:rFonts w:ascii="Arial" w:hAnsi="Arial" w:hint="default"/>
      </w:rPr>
    </w:lvl>
    <w:lvl w:ilvl="7" w:tplc="BE822EC2" w:tentative="1">
      <w:start w:val="1"/>
      <w:numFmt w:val="bullet"/>
      <w:lvlText w:val="•"/>
      <w:lvlJc w:val="left"/>
      <w:pPr>
        <w:tabs>
          <w:tab w:val="num" w:pos="5760"/>
        </w:tabs>
        <w:ind w:left="5760" w:hanging="360"/>
      </w:pPr>
      <w:rPr>
        <w:rFonts w:ascii="Arial" w:hAnsi="Arial" w:hint="default"/>
      </w:rPr>
    </w:lvl>
    <w:lvl w:ilvl="8" w:tplc="1F34977E" w:tentative="1">
      <w:start w:val="1"/>
      <w:numFmt w:val="bullet"/>
      <w:lvlText w:val="•"/>
      <w:lvlJc w:val="left"/>
      <w:pPr>
        <w:tabs>
          <w:tab w:val="num" w:pos="6480"/>
        </w:tabs>
        <w:ind w:left="6480" w:hanging="360"/>
      </w:pPr>
      <w:rPr>
        <w:rFonts w:ascii="Arial" w:hAnsi="Arial" w:hint="default"/>
      </w:rPr>
    </w:lvl>
  </w:abstractNum>
  <w:num w:numId="1" w16cid:durableId="1302080467">
    <w:abstractNumId w:val="1"/>
  </w:num>
  <w:num w:numId="2" w16cid:durableId="599721328">
    <w:abstractNumId w:val="4"/>
  </w:num>
  <w:num w:numId="3" w16cid:durableId="1972319731">
    <w:abstractNumId w:val="2"/>
  </w:num>
  <w:num w:numId="4" w16cid:durableId="62722648">
    <w:abstractNumId w:val="3"/>
  </w:num>
  <w:num w:numId="5" w16cid:durableId="39250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0EA"/>
    <w:rsid w:val="00010D4A"/>
    <w:rsid w:val="000251BA"/>
    <w:rsid w:val="0002684C"/>
    <w:rsid w:val="00033694"/>
    <w:rsid w:val="00062E47"/>
    <w:rsid w:val="00097294"/>
    <w:rsid w:val="000A4369"/>
    <w:rsid w:val="000A68C9"/>
    <w:rsid w:val="000B3D3A"/>
    <w:rsid w:val="000D5839"/>
    <w:rsid w:val="001172F7"/>
    <w:rsid w:val="001B278E"/>
    <w:rsid w:val="001C51BD"/>
    <w:rsid w:val="001E550D"/>
    <w:rsid w:val="001F09D1"/>
    <w:rsid w:val="00231AE5"/>
    <w:rsid w:val="002615EE"/>
    <w:rsid w:val="002B0131"/>
    <w:rsid w:val="002B7BDB"/>
    <w:rsid w:val="002D30EA"/>
    <w:rsid w:val="0034256C"/>
    <w:rsid w:val="003A5ED9"/>
    <w:rsid w:val="00465932"/>
    <w:rsid w:val="004A645A"/>
    <w:rsid w:val="004B7078"/>
    <w:rsid w:val="0053359E"/>
    <w:rsid w:val="00555733"/>
    <w:rsid w:val="005744D3"/>
    <w:rsid w:val="005B2097"/>
    <w:rsid w:val="005C61DC"/>
    <w:rsid w:val="005D5A11"/>
    <w:rsid w:val="005F7134"/>
    <w:rsid w:val="0062344F"/>
    <w:rsid w:val="006710B4"/>
    <w:rsid w:val="0067642C"/>
    <w:rsid w:val="006D319D"/>
    <w:rsid w:val="006D55A5"/>
    <w:rsid w:val="007052D5"/>
    <w:rsid w:val="00707605"/>
    <w:rsid w:val="007433B1"/>
    <w:rsid w:val="00786256"/>
    <w:rsid w:val="007A438B"/>
    <w:rsid w:val="007A6909"/>
    <w:rsid w:val="00806D2C"/>
    <w:rsid w:val="00807D7A"/>
    <w:rsid w:val="00822AFC"/>
    <w:rsid w:val="00825562"/>
    <w:rsid w:val="0083307E"/>
    <w:rsid w:val="008C05CD"/>
    <w:rsid w:val="00936672"/>
    <w:rsid w:val="009728F0"/>
    <w:rsid w:val="009D6BF8"/>
    <w:rsid w:val="00A30B86"/>
    <w:rsid w:val="00A40393"/>
    <w:rsid w:val="00A65221"/>
    <w:rsid w:val="00AC5F67"/>
    <w:rsid w:val="00AF38A5"/>
    <w:rsid w:val="00B20654"/>
    <w:rsid w:val="00B34B32"/>
    <w:rsid w:val="00BE3424"/>
    <w:rsid w:val="00C13125"/>
    <w:rsid w:val="00C26B42"/>
    <w:rsid w:val="00DA4A12"/>
    <w:rsid w:val="00DB0E77"/>
    <w:rsid w:val="00DE0EC1"/>
    <w:rsid w:val="00DF7406"/>
    <w:rsid w:val="00E02E12"/>
    <w:rsid w:val="00E02EFA"/>
    <w:rsid w:val="00E073CF"/>
    <w:rsid w:val="00E21688"/>
    <w:rsid w:val="00E523D3"/>
    <w:rsid w:val="00EA2AD3"/>
    <w:rsid w:val="00EF600D"/>
    <w:rsid w:val="00F04017"/>
    <w:rsid w:val="00F07765"/>
    <w:rsid w:val="00F37146"/>
    <w:rsid w:val="00F413FA"/>
    <w:rsid w:val="00F67717"/>
    <w:rsid w:val="00F67B15"/>
    <w:rsid w:val="00F7436E"/>
    <w:rsid w:val="00FB21D2"/>
    <w:rsid w:val="00FB7352"/>
    <w:rsid w:val="00FD397F"/>
    <w:rsid w:val="00FE2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00FA5"/>
  <w15:chartTrackingRefBased/>
  <w15:docId w15:val="{4E17C091-D8CD-41FE-842B-C56D04EC8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30E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D30E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D30E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D30E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D30E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D30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30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30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30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0E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D30E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D30E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D30E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D30E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D30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0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0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0EA"/>
    <w:rPr>
      <w:rFonts w:eastAsiaTheme="majorEastAsia" w:cstheme="majorBidi"/>
      <w:color w:val="272727" w:themeColor="text1" w:themeTint="D8"/>
    </w:rPr>
  </w:style>
  <w:style w:type="paragraph" w:styleId="Title">
    <w:name w:val="Title"/>
    <w:basedOn w:val="Normal"/>
    <w:next w:val="Normal"/>
    <w:link w:val="TitleChar"/>
    <w:uiPriority w:val="10"/>
    <w:qFormat/>
    <w:rsid w:val="002D30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0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0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0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0EA"/>
    <w:pPr>
      <w:spacing w:before="160"/>
      <w:jc w:val="center"/>
    </w:pPr>
    <w:rPr>
      <w:i/>
      <w:iCs/>
      <w:color w:val="404040" w:themeColor="text1" w:themeTint="BF"/>
    </w:rPr>
  </w:style>
  <w:style w:type="character" w:customStyle="1" w:styleId="QuoteChar">
    <w:name w:val="Quote Char"/>
    <w:basedOn w:val="DefaultParagraphFont"/>
    <w:link w:val="Quote"/>
    <w:uiPriority w:val="29"/>
    <w:rsid w:val="002D30EA"/>
    <w:rPr>
      <w:i/>
      <w:iCs/>
      <w:color w:val="404040" w:themeColor="text1" w:themeTint="BF"/>
    </w:rPr>
  </w:style>
  <w:style w:type="paragraph" w:styleId="ListParagraph">
    <w:name w:val="List Paragraph"/>
    <w:basedOn w:val="Normal"/>
    <w:uiPriority w:val="34"/>
    <w:qFormat/>
    <w:rsid w:val="002D30EA"/>
    <w:pPr>
      <w:ind w:left="720"/>
      <w:contextualSpacing/>
    </w:pPr>
  </w:style>
  <w:style w:type="character" w:styleId="IntenseEmphasis">
    <w:name w:val="Intense Emphasis"/>
    <w:basedOn w:val="DefaultParagraphFont"/>
    <w:uiPriority w:val="21"/>
    <w:qFormat/>
    <w:rsid w:val="002D30EA"/>
    <w:rPr>
      <w:i/>
      <w:iCs/>
      <w:color w:val="2E74B5" w:themeColor="accent1" w:themeShade="BF"/>
    </w:rPr>
  </w:style>
  <w:style w:type="paragraph" w:styleId="IntenseQuote">
    <w:name w:val="Intense Quote"/>
    <w:basedOn w:val="Normal"/>
    <w:next w:val="Normal"/>
    <w:link w:val="IntenseQuoteChar"/>
    <w:uiPriority w:val="30"/>
    <w:qFormat/>
    <w:rsid w:val="002D30E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D30EA"/>
    <w:rPr>
      <w:i/>
      <w:iCs/>
      <w:color w:val="2E74B5" w:themeColor="accent1" w:themeShade="BF"/>
    </w:rPr>
  </w:style>
  <w:style w:type="character" w:styleId="IntenseReference">
    <w:name w:val="Intense Reference"/>
    <w:basedOn w:val="DefaultParagraphFont"/>
    <w:uiPriority w:val="32"/>
    <w:qFormat/>
    <w:rsid w:val="002D30EA"/>
    <w:rPr>
      <w:b/>
      <w:bCs/>
      <w:smallCaps/>
      <w:color w:val="2E74B5" w:themeColor="accent1" w:themeShade="BF"/>
      <w:spacing w:val="5"/>
    </w:rPr>
  </w:style>
  <w:style w:type="paragraph" w:styleId="Header">
    <w:name w:val="header"/>
    <w:basedOn w:val="Normal"/>
    <w:link w:val="HeaderChar"/>
    <w:uiPriority w:val="99"/>
    <w:unhideWhenUsed/>
    <w:rsid w:val="002D30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0EA"/>
  </w:style>
  <w:style w:type="paragraph" w:styleId="Footer">
    <w:name w:val="footer"/>
    <w:basedOn w:val="Normal"/>
    <w:link w:val="FooterChar"/>
    <w:uiPriority w:val="99"/>
    <w:unhideWhenUsed/>
    <w:rsid w:val="002D30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0EA"/>
  </w:style>
  <w:style w:type="paragraph" w:styleId="FootnoteText">
    <w:name w:val="footnote text"/>
    <w:basedOn w:val="Normal"/>
    <w:link w:val="FootnoteTextChar"/>
    <w:uiPriority w:val="99"/>
    <w:semiHidden/>
    <w:unhideWhenUsed/>
    <w:rsid w:val="005C61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61DC"/>
    <w:rPr>
      <w:sz w:val="20"/>
      <w:szCs w:val="20"/>
    </w:rPr>
  </w:style>
  <w:style w:type="character" w:styleId="FootnoteReference">
    <w:name w:val="footnote reference"/>
    <w:basedOn w:val="DefaultParagraphFont"/>
    <w:uiPriority w:val="99"/>
    <w:semiHidden/>
    <w:unhideWhenUsed/>
    <w:rsid w:val="005C61DC"/>
    <w:rPr>
      <w:vertAlign w:val="superscript"/>
    </w:rPr>
  </w:style>
  <w:style w:type="table" w:styleId="TableGrid">
    <w:name w:val="Table Grid"/>
    <w:basedOn w:val="TableNormal"/>
    <w:uiPriority w:val="39"/>
    <w:rsid w:val="00743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8E759-22F0-4C8B-8DB8-1D3C93CBD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532</Words>
  <Characters>3047</Characters>
  <Application>Microsoft Office Word</Application>
  <DocSecurity>0</DocSecurity>
  <Lines>59</Lines>
  <Paragraphs>28</Paragraphs>
  <ScaleCrop>false</ScaleCrop>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Bach</dc:creator>
  <cp:keywords/>
  <dc:description/>
  <cp:lastModifiedBy>Craig Bach</cp:lastModifiedBy>
  <cp:revision>13</cp:revision>
  <dcterms:created xsi:type="dcterms:W3CDTF">2026-02-04T19:46:00Z</dcterms:created>
  <dcterms:modified xsi:type="dcterms:W3CDTF">2026-02-04T20:01:00Z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1e8eed3-d905-479d-9a27-111bb9e4ff59_Enabled">
    <vt:lpwstr>true</vt:lpwstr>
  </property>
  <property fmtid="{D5CDD505-2E9C-101B-9397-08002B2CF9AE}" pid="3" name="MSIP_Label_21e8eed3-d905-479d-9a27-111bb9e4ff59_SetDate">
    <vt:lpwstr>2026-02-02T22:10:27Z</vt:lpwstr>
  </property>
  <property fmtid="{D5CDD505-2E9C-101B-9397-08002B2CF9AE}" pid="4" name="MSIP_Label_21e8eed3-d905-479d-9a27-111bb9e4ff59_Method">
    <vt:lpwstr>Standard</vt:lpwstr>
  </property>
  <property fmtid="{D5CDD505-2E9C-101B-9397-08002B2CF9AE}" pid="5" name="MSIP_Label_21e8eed3-d905-479d-9a27-111bb9e4ff59_Name">
    <vt:lpwstr>Sensitivity Label - Internal</vt:lpwstr>
  </property>
  <property fmtid="{D5CDD505-2E9C-101B-9397-08002B2CF9AE}" pid="6" name="MSIP_Label_21e8eed3-d905-479d-9a27-111bb9e4ff59_SiteId">
    <vt:lpwstr>74e8c284-3410-4349-85ac-7157c206039a</vt:lpwstr>
  </property>
  <property fmtid="{D5CDD505-2E9C-101B-9397-08002B2CF9AE}" pid="7" name="MSIP_Label_21e8eed3-d905-479d-9a27-111bb9e4ff59_ActionId">
    <vt:lpwstr>df967a46-548f-4e6e-a2ae-035ae456a3ad</vt:lpwstr>
  </property>
  <property fmtid="{D5CDD505-2E9C-101B-9397-08002B2CF9AE}" pid="8" name="MSIP_Label_21e8eed3-d905-479d-9a27-111bb9e4ff59_ContentBits">
    <vt:lpwstr>0</vt:lpwstr>
  </property>
  <property fmtid="{D5CDD505-2E9C-101B-9397-08002B2CF9AE}" pid="9" name="MSIP_Label_21e8eed3-d905-479d-9a27-111bb9e4ff59_Tag">
    <vt:lpwstr>10, 3, 0, 1</vt:lpwstr>
  </property>
</Properties>
</file>