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F1E88" w14:textId="77777777" w:rsidR="00D21876" w:rsidRPr="0061161E" w:rsidRDefault="00D21876" w:rsidP="00D21876">
      <w:pPr>
        <w:jc w:val="center"/>
        <w:outlineLvl w:val="0"/>
        <w:rPr>
          <w:rFonts w:ascii="Arial" w:hAnsi="Arial" w:cs="Arial"/>
          <w:b/>
          <w:sz w:val="22"/>
          <w:szCs w:val="22"/>
        </w:rPr>
      </w:pPr>
      <w:r w:rsidRPr="0061161E">
        <w:rPr>
          <w:rFonts w:ascii="Arial" w:hAnsi="Arial" w:cs="Arial"/>
          <w:b/>
          <w:sz w:val="22"/>
          <w:szCs w:val="22"/>
        </w:rPr>
        <w:t>CALIFORNIA STATE UNIVERSITY GENERAL EDUCATION GUIDELINES</w:t>
      </w:r>
    </w:p>
    <w:p w14:paraId="32C2FB7C" w14:textId="77777777" w:rsidR="00D21876" w:rsidRPr="0061161E" w:rsidRDefault="00D21876" w:rsidP="00D21876">
      <w:pPr>
        <w:rPr>
          <w:rFonts w:ascii="Arial" w:hAnsi="Arial" w:cs="Arial"/>
          <w:sz w:val="22"/>
          <w:szCs w:val="22"/>
        </w:rPr>
      </w:pPr>
    </w:p>
    <w:p w14:paraId="7D3680BC" w14:textId="77777777" w:rsidR="00D21876" w:rsidRPr="0061161E" w:rsidRDefault="00D21876" w:rsidP="00D21876">
      <w:pPr>
        <w:pStyle w:val="Heading2"/>
        <w:rPr>
          <w:rFonts w:cs="Arial"/>
          <w:szCs w:val="22"/>
        </w:rPr>
      </w:pPr>
      <w:r w:rsidRPr="0061161E">
        <w:rPr>
          <w:rFonts w:cs="Arial"/>
          <w:szCs w:val="22"/>
        </w:rPr>
        <w:t>AHC Worksheet</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2070"/>
        <w:gridCol w:w="2520"/>
      </w:tblGrid>
      <w:tr w:rsidR="00D21876" w:rsidRPr="0061161E" w14:paraId="3178BEB3" w14:textId="77777777">
        <w:trPr>
          <w:trHeight w:val="683"/>
        </w:trPr>
        <w:tc>
          <w:tcPr>
            <w:tcW w:w="5868" w:type="dxa"/>
          </w:tcPr>
          <w:p w14:paraId="2EF5B172" w14:textId="77777777" w:rsidR="00D21876" w:rsidRPr="0061161E" w:rsidRDefault="00D21876" w:rsidP="0061161E">
            <w:pPr>
              <w:pStyle w:val="Heading2"/>
              <w:rPr>
                <w:rFonts w:cs="Arial"/>
                <w:szCs w:val="22"/>
              </w:rPr>
            </w:pPr>
          </w:p>
          <w:p w14:paraId="22A533B7" w14:textId="77777777" w:rsidR="00D21876" w:rsidRPr="0061161E" w:rsidRDefault="00D21876" w:rsidP="0061161E">
            <w:pPr>
              <w:pStyle w:val="Heading2"/>
              <w:rPr>
                <w:rFonts w:cs="Arial"/>
                <w:szCs w:val="22"/>
              </w:rPr>
            </w:pPr>
            <w:r w:rsidRPr="0061161E">
              <w:rPr>
                <w:rFonts w:cs="Arial"/>
                <w:szCs w:val="22"/>
              </w:rPr>
              <w:t>AREA DEFINITION</w:t>
            </w:r>
          </w:p>
        </w:tc>
        <w:tc>
          <w:tcPr>
            <w:tcW w:w="2070" w:type="dxa"/>
          </w:tcPr>
          <w:p w14:paraId="36BDAA07" w14:textId="77777777" w:rsidR="00D21876" w:rsidRPr="0061161E" w:rsidRDefault="00D21876" w:rsidP="0061161E">
            <w:pPr>
              <w:pStyle w:val="Heading2"/>
              <w:rPr>
                <w:rFonts w:cs="Arial"/>
                <w:szCs w:val="22"/>
              </w:rPr>
            </w:pPr>
            <w:r w:rsidRPr="0061161E">
              <w:rPr>
                <w:rFonts w:cs="Arial"/>
                <w:szCs w:val="22"/>
              </w:rPr>
              <w:t>INSTRUCTIONAL OBJECTIVE</w:t>
            </w:r>
          </w:p>
          <w:p w14:paraId="2530B160" w14:textId="77777777" w:rsidR="00D21876" w:rsidRPr="0061161E" w:rsidRDefault="00D21876" w:rsidP="0061161E">
            <w:pPr>
              <w:pStyle w:val="Heading2"/>
              <w:rPr>
                <w:rFonts w:cs="Arial"/>
                <w:szCs w:val="22"/>
              </w:rPr>
            </w:pPr>
            <w:r w:rsidRPr="0061161E">
              <w:rPr>
                <w:rFonts w:cs="Arial"/>
                <w:szCs w:val="22"/>
              </w:rPr>
              <w:t>NUMBER</w:t>
            </w:r>
          </w:p>
        </w:tc>
        <w:tc>
          <w:tcPr>
            <w:tcW w:w="2520" w:type="dxa"/>
          </w:tcPr>
          <w:p w14:paraId="581179C1" w14:textId="77777777" w:rsidR="00D21876" w:rsidRPr="0061161E" w:rsidRDefault="00D21876" w:rsidP="0061161E">
            <w:pPr>
              <w:jc w:val="center"/>
              <w:rPr>
                <w:rFonts w:ascii="Arial" w:hAnsi="Arial" w:cs="Arial"/>
                <w:b/>
                <w:sz w:val="22"/>
                <w:szCs w:val="22"/>
              </w:rPr>
            </w:pPr>
            <w:r w:rsidRPr="0061161E">
              <w:rPr>
                <w:rFonts w:ascii="Arial" w:hAnsi="Arial" w:cs="Arial"/>
                <w:b/>
                <w:sz w:val="22"/>
                <w:szCs w:val="22"/>
              </w:rPr>
              <w:t>OTHER EVIDENCE IN THE OUTLINE</w:t>
            </w:r>
          </w:p>
        </w:tc>
      </w:tr>
      <w:tr w:rsidR="00D21876" w:rsidRPr="0061161E" w14:paraId="55BD40BD" w14:textId="77777777">
        <w:tc>
          <w:tcPr>
            <w:tcW w:w="5868" w:type="dxa"/>
          </w:tcPr>
          <w:p w14:paraId="0038ADDA" w14:textId="77777777" w:rsidR="00D21876" w:rsidRPr="0061161E" w:rsidRDefault="00D21876" w:rsidP="0061161E">
            <w:pPr>
              <w:pStyle w:val="NormalWeb"/>
              <w:spacing w:before="0" w:after="0"/>
              <w:ind w:left="0" w:right="245"/>
              <w:rPr>
                <w:rFonts w:ascii="Arial" w:hAnsi="Arial" w:cs="Arial"/>
                <w:b/>
                <w:sz w:val="22"/>
                <w:szCs w:val="22"/>
              </w:rPr>
            </w:pPr>
            <w:r w:rsidRPr="0061161E">
              <w:rPr>
                <w:rStyle w:val="Emphasis"/>
                <w:rFonts w:ascii="Arial" w:hAnsi="Arial" w:cs="Arial"/>
                <w:b/>
                <w:sz w:val="22"/>
                <w:szCs w:val="22"/>
                <w:u w:val="single"/>
              </w:rPr>
              <w:t>Area A</w:t>
            </w:r>
            <w:r w:rsidRPr="0061161E">
              <w:rPr>
                <w:rStyle w:val="Strong"/>
                <w:rFonts w:ascii="Arial" w:hAnsi="Arial" w:cs="Arial"/>
                <w:sz w:val="22"/>
                <w:szCs w:val="22"/>
                <w:u w:val="single"/>
              </w:rPr>
              <w:t xml:space="preserve"> </w:t>
            </w:r>
            <w:r w:rsidRPr="0061161E">
              <w:rPr>
                <w:rFonts w:ascii="Arial" w:hAnsi="Arial" w:cs="Arial"/>
                <w:b/>
                <w:sz w:val="22"/>
                <w:szCs w:val="22"/>
                <w:u w:val="single"/>
              </w:rPr>
              <w:t>- English Language Communication and Critical Thinking;</w:t>
            </w:r>
            <w:r w:rsidRPr="0061161E">
              <w:rPr>
                <w:rFonts w:ascii="Arial" w:hAnsi="Arial" w:cs="Arial"/>
                <w:b/>
                <w:sz w:val="22"/>
                <w:szCs w:val="22"/>
              </w:rPr>
              <w:t xml:space="preserve"> A1 - Oral Communication, A2 - Written Communication, A3 - Critical Thinking </w:t>
            </w:r>
          </w:p>
          <w:p w14:paraId="197228FD" w14:textId="77777777" w:rsidR="00D21876" w:rsidRPr="0061161E" w:rsidRDefault="00D21876" w:rsidP="0061161E">
            <w:pPr>
              <w:pStyle w:val="NormalWeb"/>
              <w:spacing w:before="0" w:after="0"/>
              <w:ind w:left="0" w:right="245"/>
              <w:rPr>
                <w:rFonts w:ascii="Arial" w:hAnsi="Arial" w:cs="Arial"/>
                <w:b/>
                <w:sz w:val="22"/>
                <w:szCs w:val="22"/>
              </w:rPr>
            </w:pPr>
          </w:p>
          <w:p w14:paraId="4B9B2C81" w14:textId="77777777" w:rsidR="00D21876" w:rsidRPr="0061161E" w:rsidRDefault="00D21876" w:rsidP="0061161E">
            <w:pPr>
              <w:pStyle w:val="NormalWeb"/>
              <w:spacing w:before="0" w:after="0"/>
              <w:ind w:left="0" w:right="245"/>
              <w:rPr>
                <w:rFonts w:ascii="Arial" w:hAnsi="Arial" w:cs="Arial"/>
                <w:sz w:val="22"/>
                <w:szCs w:val="22"/>
              </w:rPr>
            </w:pPr>
            <w:r w:rsidRPr="0061161E">
              <w:rPr>
                <w:rFonts w:ascii="Arial" w:hAnsi="Arial" w:cs="Arial"/>
                <w:sz w:val="22"/>
                <w:szCs w:val="22"/>
              </w:rPr>
              <w:t>Students taking courses in fulfillment of subareas A1 and A2 will develop knowledge and understanding of the form, content, context, and effectiveness of communication.  Students will develop proficiency in oral and written communication in English, examining communication from the rhetorical perspective and practicing reasoning and advocacy, organization, and accuracy.  Students will practice the discovery, critical evaluation, and reporting of information, as well as reading, writing, and listening effectively.  Coursework must include active participation and practice in both written communication and oral communication in English. </w:t>
            </w:r>
          </w:p>
          <w:p w14:paraId="1B073AB9" w14:textId="77777777" w:rsidR="00D21876" w:rsidRPr="0061161E" w:rsidRDefault="00D21876" w:rsidP="0061161E">
            <w:pPr>
              <w:pStyle w:val="NormalWeb"/>
              <w:spacing w:before="0" w:after="0"/>
              <w:ind w:left="0" w:right="245"/>
              <w:rPr>
                <w:rFonts w:ascii="Arial" w:hAnsi="Arial" w:cs="Arial"/>
                <w:strike/>
                <w:sz w:val="22"/>
                <w:szCs w:val="22"/>
              </w:rPr>
            </w:pPr>
          </w:p>
          <w:p w14:paraId="7F64796F" w14:textId="77777777" w:rsidR="00D21876" w:rsidRPr="0061161E" w:rsidRDefault="00D21876" w:rsidP="0061161E">
            <w:pPr>
              <w:pStyle w:val="NormalWeb"/>
              <w:spacing w:before="0" w:after="0"/>
              <w:ind w:left="0" w:right="245"/>
              <w:rPr>
                <w:rFonts w:ascii="Arial" w:hAnsi="Arial" w:cs="Arial"/>
                <w:sz w:val="22"/>
                <w:szCs w:val="22"/>
              </w:rPr>
            </w:pPr>
            <w:r w:rsidRPr="0061161E">
              <w:rPr>
                <w:rFonts w:ascii="Arial" w:hAnsi="Arial" w:cs="Arial"/>
                <w:sz w:val="22"/>
                <w:szCs w:val="22"/>
              </w:rPr>
              <w:t>In critical thinking (subarea A3) courses, students will understand logic and its relation to language; elementary inductive and deductive processes, including an understanding of the formal and informal fallacies of language and thought; and the ability to distinguish matters of fact from issues of judgment or opinion.  In A3 courses, students will develop the abilities to analyze, criticize, and advocate ideas; to reason inductively and deductively; and to reach well-supported factual or judgmental conclusions. </w:t>
            </w:r>
          </w:p>
          <w:p w14:paraId="4C939A4C" w14:textId="77777777" w:rsidR="00D21876" w:rsidRPr="0061161E" w:rsidRDefault="00D21876" w:rsidP="0061161E">
            <w:pPr>
              <w:rPr>
                <w:rFonts w:ascii="Arial" w:hAnsi="Arial" w:cs="Arial"/>
                <w:b/>
                <w:sz w:val="22"/>
                <w:szCs w:val="22"/>
                <w:u w:val="single"/>
              </w:rPr>
            </w:pPr>
          </w:p>
        </w:tc>
        <w:tc>
          <w:tcPr>
            <w:tcW w:w="2070" w:type="dxa"/>
          </w:tcPr>
          <w:p w14:paraId="559342EE" w14:textId="77777777" w:rsidR="00D21876" w:rsidRPr="0061161E" w:rsidRDefault="00D21876" w:rsidP="0061161E">
            <w:pPr>
              <w:jc w:val="center"/>
              <w:rPr>
                <w:rFonts w:ascii="Arial" w:hAnsi="Arial" w:cs="Arial"/>
                <w:sz w:val="22"/>
                <w:szCs w:val="22"/>
              </w:rPr>
            </w:pPr>
          </w:p>
        </w:tc>
        <w:tc>
          <w:tcPr>
            <w:tcW w:w="2520" w:type="dxa"/>
          </w:tcPr>
          <w:p w14:paraId="0D7B7ED4" w14:textId="77777777" w:rsidR="00D21876" w:rsidRPr="0061161E" w:rsidRDefault="00D21876" w:rsidP="0061161E">
            <w:pPr>
              <w:jc w:val="center"/>
              <w:rPr>
                <w:rFonts w:ascii="Arial" w:hAnsi="Arial" w:cs="Arial"/>
                <w:b/>
                <w:sz w:val="22"/>
                <w:szCs w:val="22"/>
              </w:rPr>
            </w:pPr>
          </w:p>
        </w:tc>
      </w:tr>
      <w:tr w:rsidR="00D21876" w:rsidRPr="0061161E" w14:paraId="384C9E77" w14:textId="77777777">
        <w:tc>
          <w:tcPr>
            <w:tcW w:w="5868" w:type="dxa"/>
          </w:tcPr>
          <w:p w14:paraId="58697590" w14:textId="77777777" w:rsidR="00D21876" w:rsidRPr="0061161E" w:rsidRDefault="00D21876" w:rsidP="0061161E">
            <w:pPr>
              <w:pStyle w:val="NormalWeb"/>
              <w:spacing w:before="0" w:after="0"/>
              <w:ind w:left="0"/>
              <w:rPr>
                <w:rFonts w:ascii="Arial" w:hAnsi="Arial" w:cs="Arial"/>
                <w:strike/>
                <w:sz w:val="22"/>
                <w:szCs w:val="22"/>
              </w:rPr>
            </w:pPr>
            <w:r w:rsidRPr="0061161E">
              <w:rPr>
                <w:rStyle w:val="Emphasis"/>
                <w:rFonts w:ascii="Arial" w:hAnsi="Arial" w:cs="Arial"/>
                <w:b/>
                <w:sz w:val="22"/>
                <w:szCs w:val="22"/>
                <w:u w:val="single"/>
              </w:rPr>
              <w:t>Area B</w:t>
            </w:r>
            <w:r w:rsidRPr="0061161E">
              <w:rPr>
                <w:rFonts w:ascii="Arial" w:hAnsi="Arial" w:cs="Arial"/>
                <w:b/>
                <w:sz w:val="22"/>
                <w:szCs w:val="22"/>
                <w:u w:val="single"/>
              </w:rPr>
              <w:t xml:space="preserve"> - Scientific Inquiry and Quantitative Reasoning; </w:t>
            </w:r>
            <w:r w:rsidRPr="0061161E">
              <w:rPr>
                <w:rFonts w:ascii="Arial" w:hAnsi="Arial" w:cs="Arial"/>
                <w:b/>
                <w:sz w:val="22"/>
                <w:szCs w:val="22"/>
              </w:rPr>
              <w:t xml:space="preserve">B1 - Physical Science, B2 - Life Science, B3 - Laboratory Activity, B4 - Mathematics/Quantitative Reasoning  </w:t>
            </w:r>
          </w:p>
          <w:p w14:paraId="60D00C86" w14:textId="77777777" w:rsidR="00D21876" w:rsidRPr="0061161E" w:rsidRDefault="00D21876" w:rsidP="0061161E">
            <w:pPr>
              <w:pStyle w:val="NormalWeb"/>
              <w:spacing w:before="0" w:after="0"/>
              <w:ind w:left="0"/>
              <w:rPr>
                <w:rFonts w:ascii="Arial" w:hAnsi="Arial" w:cs="Arial"/>
                <w:strike/>
                <w:sz w:val="22"/>
                <w:szCs w:val="22"/>
              </w:rPr>
            </w:pPr>
          </w:p>
          <w:p w14:paraId="287D4A25" w14:textId="77777777" w:rsidR="00D21876" w:rsidRPr="0061161E" w:rsidRDefault="00D21876" w:rsidP="0061161E">
            <w:pPr>
              <w:pStyle w:val="NormalWeb"/>
              <w:spacing w:before="0" w:after="0"/>
              <w:ind w:left="0"/>
              <w:rPr>
                <w:rFonts w:ascii="Arial" w:hAnsi="Arial" w:cs="Arial"/>
                <w:sz w:val="22"/>
                <w:szCs w:val="22"/>
              </w:rPr>
            </w:pPr>
            <w:r w:rsidRPr="0061161E">
              <w:rPr>
                <w:rFonts w:ascii="Arial" w:hAnsi="Arial" w:cs="Arial"/>
                <w:sz w:val="22"/>
                <w:szCs w:val="22"/>
              </w:rPr>
              <w:t xml:space="preserve">In subareas B1-B3, students develop knowledge of scientific theories, concepts, and data about both living and non-living systems.  Students will achieve an understanding and appreciation of scientific principles and the scientific method, </w:t>
            </w:r>
            <w:r w:rsidRPr="0061161E">
              <w:rPr>
                <w:rFonts w:ascii="Arial" w:hAnsi="Arial" w:cs="Arial"/>
                <w:iCs/>
                <w:sz w:val="22"/>
                <w:szCs w:val="22"/>
              </w:rPr>
              <w:t xml:space="preserve">as well as the potential limits </w:t>
            </w:r>
            <w:r w:rsidRPr="0061161E">
              <w:rPr>
                <w:rFonts w:ascii="Arial" w:hAnsi="Arial" w:cs="Arial"/>
                <w:sz w:val="22"/>
                <w:szCs w:val="22"/>
              </w:rPr>
              <w:t xml:space="preserve">of scientific endeavors </w:t>
            </w:r>
            <w:r w:rsidRPr="0061161E">
              <w:rPr>
                <w:rFonts w:ascii="Arial" w:hAnsi="Arial" w:cs="Arial"/>
                <w:iCs/>
                <w:sz w:val="22"/>
                <w:szCs w:val="22"/>
              </w:rPr>
              <w:t xml:space="preserve">and </w:t>
            </w:r>
            <w:r w:rsidRPr="0061161E">
              <w:rPr>
                <w:rFonts w:ascii="Arial" w:hAnsi="Arial" w:cs="Arial"/>
                <w:sz w:val="22"/>
                <w:szCs w:val="22"/>
              </w:rPr>
              <w:t xml:space="preserve">the value systems and ethics associated with human inquiry.  The nature and extent of laboratory experience is to be determined by each campus through its established curricular procedures.   </w:t>
            </w:r>
          </w:p>
          <w:p w14:paraId="699242A2" w14:textId="77777777" w:rsidR="00D21876" w:rsidRPr="0061161E" w:rsidRDefault="00D21876" w:rsidP="0061161E">
            <w:pPr>
              <w:pStyle w:val="NormalWeb"/>
              <w:spacing w:before="0" w:after="0"/>
              <w:ind w:left="0"/>
              <w:rPr>
                <w:rFonts w:ascii="Arial" w:hAnsi="Arial" w:cs="Arial"/>
                <w:sz w:val="22"/>
                <w:szCs w:val="22"/>
              </w:rPr>
            </w:pPr>
          </w:p>
          <w:p w14:paraId="2B132ED9" w14:textId="77777777" w:rsidR="00D21876" w:rsidRPr="0061161E" w:rsidRDefault="00D21876" w:rsidP="0061161E">
            <w:pPr>
              <w:pStyle w:val="NormalWeb"/>
              <w:spacing w:before="0" w:after="0"/>
              <w:ind w:left="0"/>
              <w:rPr>
                <w:rFonts w:ascii="Arial" w:hAnsi="Arial" w:cs="Arial"/>
                <w:b/>
                <w:sz w:val="22"/>
                <w:szCs w:val="22"/>
              </w:rPr>
            </w:pPr>
            <w:r w:rsidRPr="0061161E">
              <w:rPr>
                <w:rFonts w:ascii="Arial" w:hAnsi="Arial" w:cs="Arial"/>
                <w:sz w:val="22"/>
                <w:szCs w:val="22"/>
              </w:rPr>
              <w:lastRenderedPageBreak/>
              <w:t xml:space="preserve">Courses in subarea B4 shall have an explicit intermediate algebra prerequisite, and students shall develop skills and understanding beyond the level of intermediate algebra.  Students will not just practice computational skills, but will be able to explain and apply basic mathematical concepts and will be able to solve problems through quantitative reasoning.  </w:t>
            </w:r>
          </w:p>
          <w:p w14:paraId="19F90730" w14:textId="77777777" w:rsidR="00D21876" w:rsidRPr="0061161E" w:rsidRDefault="00D21876" w:rsidP="0061161E">
            <w:pPr>
              <w:rPr>
                <w:rFonts w:ascii="Arial" w:hAnsi="Arial" w:cs="Arial"/>
                <w:b/>
                <w:sz w:val="22"/>
                <w:szCs w:val="22"/>
                <w:u w:val="single"/>
              </w:rPr>
            </w:pPr>
          </w:p>
        </w:tc>
        <w:tc>
          <w:tcPr>
            <w:tcW w:w="2070" w:type="dxa"/>
          </w:tcPr>
          <w:p w14:paraId="01957370" w14:textId="77777777" w:rsidR="00D21876" w:rsidRPr="0061161E" w:rsidRDefault="00D21876" w:rsidP="0061161E">
            <w:pPr>
              <w:jc w:val="center"/>
              <w:rPr>
                <w:rFonts w:ascii="Arial" w:hAnsi="Arial" w:cs="Arial"/>
                <w:sz w:val="22"/>
                <w:szCs w:val="22"/>
              </w:rPr>
            </w:pPr>
          </w:p>
        </w:tc>
        <w:tc>
          <w:tcPr>
            <w:tcW w:w="2520" w:type="dxa"/>
          </w:tcPr>
          <w:p w14:paraId="5D7A4F9A" w14:textId="77777777" w:rsidR="00D21876" w:rsidRPr="0061161E" w:rsidRDefault="00D21876" w:rsidP="0061161E">
            <w:pPr>
              <w:jc w:val="center"/>
              <w:rPr>
                <w:rFonts w:ascii="Arial" w:hAnsi="Arial" w:cs="Arial"/>
                <w:b/>
                <w:sz w:val="22"/>
                <w:szCs w:val="22"/>
              </w:rPr>
            </w:pPr>
          </w:p>
        </w:tc>
      </w:tr>
      <w:tr w:rsidR="00D21876" w:rsidRPr="0061161E" w14:paraId="5B50726A" w14:textId="77777777">
        <w:tc>
          <w:tcPr>
            <w:tcW w:w="5868" w:type="dxa"/>
          </w:tcPr>
          <w:p w14:paraId="6E680029" w14:textId="77777777" w:rsidR="00D21876" w:rsidRPr="0061161E" w:rsidRDefault="00D21876" w:rsidP="0061161E">
            <w:pPr>
              <w:pStyle w:val="NormalWeb"/>
              <w:spacing w:before="0" w:after="0"/>
              <w:ind w:left="0"/>
              <w:rPr>
                <w:rFonts w:ascii="Arial" w:hAnsi="Arial" w:cs="Arial"/>
                <w:strike/>
                <w:sz w:val="22"/>
                <w:szCs w:val="22"/>
              </w:rPr>
            </w:pPr>
            <w:r w:rsidRPr="0061161E">
              <w:rPr>
                <w:rStyle w:val="Emphasis"/>
                <w:rFonts w:ascii="Arial" w:hAnsi="Arial" w:cs="Arial"/>
                <w:b/>
                <w:sz w:val="22"/>
                <w:szCs w:val="22"/>
                <w:u w:val="single"/>
              </w:rPr>
              <w:lastRenderedPageBreak/>
              <w:t>Area C</w:t>
            </w:r>
            <w:r w:rsidRPr="0061161E">
              <w:rPr>
                <w:rFonts w:ascii="Arial" w:hAnsi="Arial" w:cs="Arial"/>
                <w:b/>
                <w:sz w:val="22"/>
                <w:szCs w:val="22"/>
                <w:u w:val="single"/>
              </w:rPr>
              <w:t xml:space="preserve"> - Arts and Humanities;</w:t>
            </w:r>
            <w:r w:rsidRPr="0061161E">
              <w:rPr>
                <w:rFonts w:ascii="Arial" w:hAnsi="Arial" w:cs="Arial"/>
                <w:b/>
                <w:sz w:val="22"/>
                <w:szCs w:val="22"/>
              </w:rPr>
              <w:t xml:space="preserve"> C1 - Arts (Art, Dance, Music, Theater), C2 - Humanities (Literature, Philosophy, Foreign Language) </w:t>
            </w:r>
          </w:p>
          <w:p w14:paraId="26DB294B" w14:textId="77777777" w:rsidR="00D21876" w:rsidRPr="0061161E" w:rsidRDefault="00D21876" w:rsidP="0061161E">
            <w:pPr>
              <w:pStyle w:val="NormalWeb"/>
              <w:spacing w:before="0" w:after="0"/>
              <w:ind w:left="0"/>
              <w:rPr>
                <w:rFonts w:ascii="Arial" w:hAnsi="Arial" w:cs="Arial"/>
                <w:strike/>
                <w:sz w:val="22"/>
                <w:szCs w:val="22"/>
              </w:rPr>
            </w:pPr>
          </w:p>
          <w:p w14:paraId="40CBFA96" w14:textId="77777777" w:rsidR="00D21876" w:rsidRPr="0061161E" w:rsidRDefault="00D21876" w:rsidP="0061161E">
            <w:pPr>
              <w:pStyle w:val="NormalWeb"/>
              <w:spacing w:before="0" w:after="0"/>
              <w:ind w:left="0"/>
              <w:rPr>
                <w:rFonts w:ascii="Arial" w:hAnsi="Arial" w:cs="Arial"/>
                <w:sz w:val="22"/>
                <w:szCs w:val="22"/>
              </w:rPr>
            </w:pPr>
            <w:r w:rsidRPr="0061161E">
              <w:rPr>
                <w:rFonts w:ascii="Arial" w:hAnsi="Arial" w:cs="Arial"/>
                <w:sz w:val="22"/>
                <w:szCs w:val="22"/>
              </w:rPr>
              <w:t>Across the disciplines in their Area C coursework, students will cultivate intellect, imagination, sensibility and sensitivity.  Students will respond subjectively as well as objectively to aesthetic experiences and will develop an understanding of the integrity of both emotional and intellectual responses.  Students will cultivate and refine their affective, cognitive, and physical faculties through studying great works of the human imagination.  Activities may include participation in individual aesthetic, creative experiences; however Area C excludes courses that exclusively emphasize skills development.  </w:t>
            </w:r>
          </w:p>
          <w:p w14:paraId="6C592C40" w14:textId="77777777" w:rsidR="00D21876" w:rsidRPr="0061161E" w:rsidRDefault="00D21876" w:rsidP="0061161E">
            <w:pPr>
              <w:pStyle w:val="NormalWeb"/>
              <w:spacing w:before="0" w:after="0"/>
              <w:ind w:left="0"/>
              <w:rPr>
                <w:rFonts w:ascii="Arial" w:hAnsi="Arial" w:cs="Arial"/>
                <w:sz w:val="22"/>
                <w:szCs w:val="22"/>
              </w:rPr>
            </w:pPr>
          </w:p>
          <w:p w14:paraId="34037256" w14:textId="77777777" w:rsidR="00D21876" w:rsidRPr="0061161E" w:rsidRDefault="00D21876" w:rsidP="0061161E">
            <w:pPr>
              <w:pStyle w:val="NormalWeb"/>
              <w:spacing w:before="0" w:after="0"/>
              <w:ind w:left="0"/>
              <w:rPr>
                <w:rFonts w:ascii="Arial" w:hAnsi="Arial" w:cs="Arial"/>
                <w:sz w:val="22"/>
                <w:szCs w:val="22"/>
              </w:rPr>
            </w:pPr>
            <w:r w:rsidRPr="0061161E">
              <w:rPr>
                <w:rFonts w:ascii="Arial" w:hAnsi="Arial" w:cs="Arial"/>
                <w:sz w:val="22"/>
                <w:szCs w:val="22"/>
              </w:rPr>
              <w:t>In their intellectual and subjective considerations, students will develop a better understanding of the interrelationship between the self and the creative arts and of the humanities in a variety of cultures. </w:t>
            </w:r>
          </w:p>
          <w:p w14:paraId="0346140E" w14:textId="77777777" w:rsidR="00D21876" w:rsidRPr="0061161E" w:rsidRDefault="00D21876" w:rsidP="0061161E">
            <w:pPr>
              <w:rPr>
                <w:rFonts w:ascii="Arial" w:hAnsi="Arial" w:cs="Arial"/>
                <w:sz w:val="22"/>
                <w:szCs w:val="22"/>
              </w:rPr>
            </w:pPr>
            <w:r w:rsidRPr="0061161E">
              <w:rPr>
                <w:rFonts w:ascii="Arial" w:hAnsi="Arial" w:cs="Arial"/>
                <w:sz w:val="22"/>
                <w:szCs w:val="22"/>
              </w:rPr>
              <w:br/>
              <w:t>Students may take courses in languages other than English in partial fulfillment of this requirement if the courses do not focus solely on skills acquisition but also contain a substantial cultural component.  This may include literature, among other content. Coursework taken in fulfillment of this requirement must include a reasonable distribution among the subareas specified, as opposed to restricting the entire number of units required to a single subarea.  </w:t>
            </w:r>
          </w:p>
          <w:p w14:paraId="327C0327" w14:textId="77777777" w:rsidR="00D21876" w:rsidRPr="0061161E" w:rsidRDefault="00D21876" w:rsidP="0061161E">
            <w:pPr>
              <w:rPr>
                <w:rFonts w:ascii="Arial" w:hAnsi="Arial" w:cs="Arial"/>
                <w:b/>
                <w:sz w:val="22"/>
                <w:szCs w:val="22"/>
                <w:u w:val="single"/>
              </w:rPr>
            </w:pPr>
          </w:p>
        </w:tc>
        <w:tc>
          <w:tcPr>
            <w:tcW w:w="2070" w:type="dxa"/>
          </w:tcPr>
          <w:p w14:paraId="5A91AD22" w14:textId="77777777" w:rsidR="00D21876" w:rsidRPr="0061161E" w:rsidRDefault="00D21876" w:rsidP="0061161E">
            <w:pPr>
              <w:jc w:val="center"/>
              <w:rPr>
                <w:rFonts w:ascii="Arial" w:hAnsi="Arial" w:cs="Arial"/>
                <w:sz w:val="22"/>
                <w:szCs w:val="22"/>
              </w:rPr>
            </w:pPr>
          </w:p>
        </w:tc>
        <w:tc>
          <w:tcPr>
            <w:tcW w:w="2520" w:type="dxa"/>
          </w:tcPr>
          <w:p w14:paraId="21ABEA83" w14:textId="77777777" w:rsidR="00D21876" w:rsidRPr="0061161E" w:rsidRDefault="00D21876" w:rsidP="0061161E">
            <w:pPr>
              <w:jc w:val="center"/>
              <w:rPr>
                <w:rFonts w:ascii="Arial" w:hAnsi="Arial" w:cs="Arial"/>
                <w:b/>
                <w:sz w:val="22"/>
                <w:szCs w:val="22"/>
              </w:rPr>
            </w:pPr>
          </w:p>
        </w:tc>
      </w:tr>
      <w:tr w:rsidR="00D21876" w:rsidRPr="0061161E" w14:paraId="6941FD9A" w14:textId="77777777">
        <w:tc>
          <w:tcPr>
            <w:tcW w:w="5868" w:type="dxa"/>
          </w:tcPr>
          <w:p w14:paraId="384229A5" w14:textId="77777777" w:rsidR="00D21876" w:rsidRPr="0061161E" w:rsidRDefault="00D21876" w:rsidP="0061161E">
            <w:pPr>
              <w:pStyle w:val="NormalWeb"/>
              <w:spacing w:before="0" w:after="0"/>
              <w:ind w:left="0" w:right="245"/>
              <w:rPr>
                <w:rFonts w:ascii="Arial" w:hAnsi="Arial" w:cs="Arial"/>
                <w:b/>
                <w:strike/>
                <w:sz w:val="22"/>
                <w:szCs w:val="22"/>
              </w:rPr>
            </w:pPr>
            <w:r w:rsidRPr="0061161E">
              <w:rPr>
                <w:rStyle w:val="Emphasis"/>
                <w:rFonts w:ascii="Arial" w:hAnsi="Arial" w:cs="Arial"/>
                <w:b/>
                <w:sz w:val="22"/>
                <w:szCs w:val="22"/>
                <w:u w:val="single"/>
              </w:rPr>
              <w:t>Area D</w:t>
            </w:r>
            <w:r w:rsidRPr="0061161E">
              <w:rPr>
                <w:rFonts w:ascii="Arial" w:hAnsi="Arial" w:cs="Arial"/>
                <w:b/>
                <w:sz w:val="22"/>
                <w:szCs w:val="22"/>
                <w:u w:val="single"/>
              </w:rPr>
              <w:t xml:space="preserve"> - Social Sciences;</w:t>
            </w:r>
            <w:r w:rsidRPr="0061161E">
              <w:rPr>
                <w:rFonts w:ascii="Arial" w:hAnsi="Arial" w:cs="Arial"/>
                <w:b/>
                <w:sz w:val="22"/>
                <w:szCs w:val="22"/>
              </w:rPr>
              <w:t xml:space="preserve"> D0 - Sociology and Criminology, D1 - Anthropology and Archeology, D2 – Economics, D3 - Ethnic Studies, D4 - Gender Studies, D5 – Geography, D6 – History, D7 - Interdisciplinary Social or Behavioral Science, D8 - Political Science, Government and Legal Institutions, D9 - Psychology </w:t>
            </w:r>
          </w:p>
          <w:p w14:paraId="5D447050" w14:textId="77777777" w:rsidR="00D21876" w:rsidRPr="0061161E" w:rsidRDefault="00D21876" w:rsidP="0061161E">
            <w:pPr>
              <w:rPr>
                <w:rFonts w:ascii="Arial" w:hAnsi="Arial" w:cs="Arial"/>
                <w:strike/>
                <w:sz w:val="22"/>
                <w:szCs w:val="22"/>
              </w:rPr>
            </w:pPr>
          </w:p>
          <w:p w14:paraId="259590F2" w14:textId="77777777" w:rsidR="00D21876" w:rsidRPr="0061161E" w:rsidRDefault="00D21876" w:rsidP="0061161E">
            <w:pPr>
              <w:rPr>
                <w:rFonts w:ascii="Arial" w:hAnsi="Arial" w:cs="Arial"/>
                <w:sz w:val="22"/>
                <w:szCs w:val="22"/>
              </w:rPr>
            </w:pPr>
            <w:r w:rsidRPr="0061161E">
              <w:rPr>
                <w:rFonts w:ascii="Arial" w:hAnsi="Arial" w:cs="Arial"/>
                <w:sz w:val="22"/>
                <w:szCs w:val="22"/>
              </w:rPr>
              <w:t>Students learn from courses in multiple Area D disciplines that human social, political and economic institutions and behavior are inextricably interwoven.  Through fulfillment of the Area D requirement, students will develop an understanding of problems and issues from the respective disciplinary perspectives and will examine issues in their contemporary as well as historical settings and in a variety of cultural contexts.  Students will explore the principles, methodologies, value systems and ethics employed in social scientific inquiry. Courses that emphasize skills development and professional preparation are excluded from Area D.  Coursework taken in fulfillment of this requirement must include a reasonable distribution among the subareas specified, as opposed to restricting the entire number of units required to a single subarea.</w:t>
            </w:r>
          </w:p>
          <w:p w14:paraId="75E64C42" w14:textId="77777777" w:rsidR="00D21876" w:rsidRPr="0061161E" w:rsidRDefault="00D21876" w:rsidP="0061161E">
            <w:pPr>
              <w:rPr>
                <w:rFonts w:ascii="Arial" w:hAnsi="Arial" w:cs="Arial"/>
                <w:b/>
                <w:sz w:val="22"/>
                <w:szCs w:val="22"/>
                <w:u w:val="single"/>
              </w:rPr>
            </w:pPr>
          </w:p>
        </w:tc>
        <w:tc>
          <w:tcPr>
            <w:tcW w:w="2070" w:type="dxa"/>
          </w:tcPr>
          <w:p w14:paraId="1F087099" w14:textId="77777777" w:rsidR="00D21876" w:rsidRPr="0061161E" w:rsidRDefault="00D21876" w:rsidP="0061161E">
            <w:pPr>
              <w:jc w:val="center"/>
              <w:rPr>
                <w:rFonts w:ascii="Arial" w:hAnsi="Arial" w:cs="Arial"/>
                <w:sz w:val="22"/>
                <w:szCs w:val="22"/>
              </w:rPr>
            </w:pPr>
          </w:p>
        </w:tc>
        <w:tc>
          <w:tcPr>
            <w:tcW w:w="2520" w:type="dxa"/>
          </w:tcPr>
          <w:p w14:paraId="21D4515C" w14:textId="77777777" w:rsidR="00D21876" w:rsidRPr="0061161E" w:rsidRDefault="00D21876" w:rsidP="0061161E">
            <w:pPr>
              <w:jc w:val="center"/>
              <w:rPr>
                <w:rFonts w:ascii="Arial" w:hAnsi="Arial" w:cs="Arial"/>
                <w:b/>
                <w:sz w:val="22"/>
                <w:szCs w:val="22"/>
              </w:rPr>
            </w:pPr>
          </w:p>
        </w:tc>
      </w:tr>
      <w:tr w:rsidR="00D21876" w:rsidRPr="0061161E" w14:paraId="730BD7CF" w14:textId="77777777">
        <w:tc>
          <w:tcPr>
            <w:tcW w:w="5868" w:type="dxa"/>
          </w:tcPr>
          <w:p w14:paraId="23AAEC37" w14:textId="77777777" w:rsidR="00D21876" w:rsidRPr="0061161E" w:rsidRDefault="00D21876" w:rsidP="0061161E">
            <w:pPr>
              <w:pStyle w:val="NormalWeb"/>
              <w:spacing w:before="0" w:after="0"/>
              <w:ind w:left="0"/>
              <w:rPr>
                <w:rFonts w:ascii="Arial" w:hAnsi="Arial" w:cs="Arial"/>
                <w:b/>
                <w:sz w:val="22"/>
                <w:szCs w:val="22"/>
              </w:rPr>
            </w:pPr>
            <w:r w:rsidRPr="0061161E">
              <w:rPr>
                <w:rStyle w:val="Emphasis"/>
                <w:rFonts w:ascii="Arial" w:hAnsi="Arial" w:cs="Arial"/>
                <w:b/>
                <w:sz w:val="22"/>
                <w:szCs w:val="22"/>
                <w:u w:val="single"/>
              </w:rPr>
              <w:t>Area E</w:t>
            </w:r>
            <w:r w:rsidRPr="0061161E">
              <w:rPr>
                <w:rFonts w:ascii="Arial" w:hAnsi="Arial" w:cs="Arial"/>
                <w:b/>
                <w:sz w:val="22"/>
                <w:szCs w:val="22"/>
                <w:u w:val="single"/>
              </w:rPr>
              <w:t xml:space="preserve"> - Lifelong Learning and Self-Development</w:t>
            </w:r>
          </w:p>
          <w:p w14:paraId="6F34C9B4" w14:textId="77777777" w:rsidR="00D21876" w:rsidRPr="0061161E" w:rsidRDefault="00D21876" w:rsidP="0061161E">
            <w:pPr>
              <w:pStyle w:val="NormalWeb"/>
              <w:spacing w:before="0" w:after="0"/>
              <w:ind w:left="0"/>
              <w:rPr>
                <w:rFonts w:ascii="Arial" w:hAnsi="Arial" w:cs="Arial"/>
                <w:b/>
                <w:sz w:val="22"/>
                <w:szCs w:val="22"/>
              </w:rPr>
            </w:pPr>
          </w:p>
          <w:p w14:paraId="572AE26B" w14:textId="77777777" w:rsidR="00D21876" w:rsidRPr="0061161E" w:rsidRDefault="00D21876" w:rsidP="0061161E">
            <w:pPr>
              <w:rPr>
                <w:rFonts w:ascii="Arial" w:hAnsi="Arial" w:cs="Arial"/>
                <w:sz w:val="22"/>
                <w:szCs w:val="22"/>
              </w:rPr>
            </w:pPr>
            <w:r w:rsidRPr="0061161E">
              <w:rPr>
                <w:rFonts w:ascii="Arial" w:hAnsi="Arial" w:cs="Arial"/>
                <w:sz w:val="22"/>
                <w:szCs w:val="22"/>
              </w:rPr>
              <w:t xml:space="preserve">A minimum of three semester units in study designed to equip human learners for lifelong understanding and development of themselves as integrated physiological and psychological beings. </w:t>
            </w:r>
          </w:p>
          <w:p w14:paraId="233D0F98" w14:textId="77777777" w:rsidR="00D21876" w:rsidRPr="0061161E" w:rsidRDefault="00D21876" w:rsidP="0061161E">
            <w:pPr>
              <w:rPr>
                <w:rFonts w:ascii="Arial" w:hAnsi="Arial" w:cs="Arial"/>
                <w:sz w:val="22"/>
                <w:szCs w:val="22"/>
              </w:rPr>
            </w:pPr>
          </w:p>
          <w:p w14:paraId="788C0332" w14:textId="77777777" w:rsidR="00D21876" w:rsidRPr="0061161E" w:rsidRDefault="00D21876" w:rsidP="0061161E">
            <w:pPr>
              <w:rPr>
                <w:rFonts w:ascii="Arial" w:hAnsi="Arial" w:cs="Arial"/>
                <w:sz w:val="22"/>
                <w:szCs w:val="22"/>
              </w:rPr>
            </w:pPr>
            <w:r w:rsidRPr="0061161E">
              <w:rPr>
                <w:rFonts w:ascii="Arial" w:hAnsi="Arial" w:cs="Arial"/>
                <w:sz w:val="22"/>
                <w:szCs w:val="22"/>
              </w:rPr>
              <w:t>Student learning in this area shall include selective consideration of content such as human behavior, sexuality, nutrition, physical and mental health, stress management, financial literacy, social relationships and relationships with the environment, as well as implications of death and dying and avenues for lifelong learning.  Physical activity may be included, provided that it is an integral part of the study elements described herein. </w:t>
            </w:r>
          </w:p>
          <w:p w14:paraId="2E639239" w14:textId="77777777" w:rsidR="00D21876" w:rsidRPr="0061161E" w:rsidRDefault="00D21876" w:rsidP="0061161E">
            <w:pPr>
              <w:rPr>
                <w:rFonts w:ascii="Arial" w:hAnsi="Arial" w:cs="Arial"/>
                <w:b/>
                <w:sz w:val="22"/>
                <w:szCs w:val="22"/>
                <w:u w:val="single"/>
              </w:rPr>
            </w:pPr>
          </w:p>
        </w:tc>
        <w:tc>
          <w:tcPr>
            <w:tcW w:w="2070" w:type="dxa"/>
          </w:tcPr>
          <w:p w14:paraId="3CED4E54" w14:textId="77777777" w:rsidR="00D21876" w:rsidRPr="0061161E" w:rsidRDefault="00D21876" w:rsidP="0061161E">
            <w:pPr>
              <w:jc w:val="center"/>
              <w:rPr>
                <w:rFonts w:ascii="Arial" w:hAnsi="Arial" w:cs="Arial"/>
                <w:sz w:val="22"/>
                <w:szCs w:val="22"/>
              </w:rPr>
            </w:pPr>
          </w:p>
        </w:tc>
        <w:tc>
          <w:tcPr>
            <w:tcW w:w="2520" w:type="dxa"/>
          </w:tcPr>
          <w:p w14:paraId="76E2BA23" w14:textId="77777777" w:rsidR="00D21876" w:rsidRPr="0061161E" w:rsidRDefault="00D21876" w:rsidP="0061161E">
            <w:pPr>
              <w:jc w:val="center"/>
              <w:rPr>
                <w:rFonts w:ascii="Arial" w:hAnsi="Arial" w:cs="Arial"/>
                <w:b/>
                <w:sz w:val="22"/>
                <w:szCs w:val="22"/>
              </w:rPr>
            </w:pPr>
          </w:p>
        </w:tc>
      </w:tr>
    </w:tbl>
    <w:p w14:paraId="28630D39" w14:textId="77777777" w:rsidR="00D21876" w:rsidRPr="0061161E" w:rsidRDefault="00D21876" w:rsidP="00D21876">
      <w:pPr>
        <w:rPr>
          <w:rFonts w:ascii="Arial" w:hAnsi="Arial" w:cs="Arial"/>
          <w:sz w:val="22"/>
          <w:szCs w:val="22"/>
        </w:rPr>
      </w:pPr>
    </w:p>
    <w:p w14:paraId="7AFF0245" w14:textId="77777777" w:rsidR="007A4DF5" w:rsidRDefault="007A4DF5">
      <w:pPr>
        <w:rPr>
          <w:rFonts w:ascii="Arial" w:hAnsi="Arial" w:cs="Arial"/>
          <w:sz w:val="22"/>
          <w:szCs w:val="22"/>
        </w:rPr>
      </w:pPr>
    </w:p>
    <w:p w14:paraId="2407049C" w14:textId="77777777" w:rsidR="007A4DF5" w:rsidRDefault="007A4DF5">
      <w:pPr>
        <w:rPr>
          <w:rFonts w:ascii="Arial" w:hAnsi="Arial" w:cs="Arial"/>
          <w:sz w:val="22"/>
          <w:szCs w:val="22"/>
        </w:rPr>
      </w:pPr>
    </w:p>
    <w:p w14:paraId="3C488BBF" w14:textId="77777777" w:rsidR="007A4DF5" w:rsidRDefault="007A4DF5">
      <w:pPr>
        <w:rPr>
          <w:rFonts w:ascii="Arial" w:hAnsi="Arial" w:cs="Arial"/>
          <w:sz w:val="22"/>
          <w:szCs w:val="22"/>
        </w:rPr>
      </w:pPr>
    </w:p>
    <w:p w14:paraId="4625E545" w14:textId="77777777" w:rsidR="007A4DF5" w:rsidRDefault="007A4DF5">
      <w:pPr>
        <w:rPr>
          <w:rFonts w:ascii="Arial" w:hAnsi="Arial" w:cs="Arial"/>
          <w:sz w:val="22"/>
          <w:szCs w:val="22"/>
        </w:rPr>
      </w:pPr>
    </w:p>
    <w:p w14:paraId="36D95B76" w14:textId="77777777" w:rsidR="007A4DF5" w:rsidRDefault="007A4DF5">
      <w:pPr>
        <w:rPr>
          <w:rFonts w:ascii="Arial" w:hAnsi="Arial" w:cs="Arial"/>
          <w:sz w:val="22"/>
          <w:szCs w:val="22"/>
        </w:rPr>
      </w:pPr>
    </w:p>
    <w:p w14:paraId="4B969E13" w14:textId="77777777" w:rsidR="007A4DF5" w:rsidRDefault="007A4DF5">
      <w:pPr>
        <w:rPr>
          <w:rFonts w:ascii="Arial" w:hAnsi="Arial" w:cs="Arial"/>
          <w:sz w:val="22"/>
          <w:szCs w:val="22"/>
        </w:rPr>
      </w:pPr>
    </w:p>
    <w:p w14:paraId="6C3B216E" w14:textId="77777777" w:rsidR="007A4DF5" w:rsidRDefault="007A4DF5">
      <w:pPr>
        <w:rPr>
          <w:rFonts w:ascii="Arial" w:hAnsi="Arial" w:cs="Arial"/>
          <w:sz w:val="22"/>
          <w:szCs w:val="22"/>
        </w:rPr>
      </w:pPr>
    </w:p>
    <w:p w14:paraId="337E73B2" w14:textId="77777777" w:rsidR="007A4DF5" w:rsidRDefault="007A4DF5">
      <w:pPr>
        <w:rPr>
          <w:rFonts w:ascii="Arial" w:hAnsi="Arial" w:cs="Arial"/>
          <w:sz w:val="22"/>
          <w:szCs w:val="22"/>
        </w:rPr>
      </w:pPr>
    </w:p>
    <w:p w14:paraId="15293B86" w14:textId="77777777" w:rsidR="007A4DF5" w:rsidRDefault="007A4DF5">
      <w:pPr>
        <w:rPr>
          <w:rFonts w:ascii="Arial" w:hAnsi="Arial" w:cs="Arial"/>
          <w:sz w:val="22"/>
          <w:szCs w:val="22"/>
        </w:rPr>
      </w:pPr>
    </w:p>
    <w:p w14:paraId="69DD3E92" w14:textId="77777777" w:rsidR="007A4DF5" w:rsidRDefault="007A4DF5">
      <w:pPr>
        <w:rPr>
          <w:rFonts w:ascii="Arial" w:hAnsi="Arial" w:cs="Arial"/>
          <w:sz w:val="22"/>
          <w:szCs w:val="22"/>
        </w:rPr>
      </w:pPr>
    </w:p>
    <w:p w14:paraId="67B65E66" w14:textId="77777777" w:rsidR="007A4DF5" w:rsidRDefault="007A4DF5">
      <w:pPr>
        <w:rPr>
          <w:rFonts w:ascii="Arial" w:hAnsi="Arial" w:cs="Arial"/>
          <w:sz w:val="22"/>
          <w:szCs w:val="22"/>
        </w:rPr>
      </w:pPr>
    </w:p>
    <w:p w14:paraId="5A505674" w14:textId="77777777" w:rsidR="007A4DF5" w:rsidRDefault="007A4DF5">
      <w:pPr>
        <w:rPr>
          <w:rFonts w:ascii="Arial" w:hAnsi="Arial" w:cs="Arial"/>
          <w:sz w:val="22"/>
          <w:szCs w:val="22"/>
        </w:rPr>
      </w:pPr>
    </w:p>
    <w:p w14:paraId="57119374" w14:textId="77777777" w:rsidR="007A4DF5" w:rsidRDefault="007A4DF5">
      <w:pPr>
        <w:rPr>
          <w:rFonts w:ascii="Arial" w:hAnsi="Arial" w:cs="Arial"/>
          <w:sz w:val="22"/>
          <w:szCs w:val="22"/>
        </w:rPr>
      </w:pPr>
    </w:p>
    <w:p w14:paraId="5852B7E2" w14:textId="77777777" w:rsidR="007A4DF5" w:rsidRDefault="007A4DF5">
      <w:pPr>
        <w:rPr>
          <w:rFonts w:ascii="Arial" w:hAnsi="Arial" w:cs="Arial"/>
          <w:sz w:val="22"/>
          <w:szCs w:val="22"/>
        </w:rPr>
      </w:pPr>
    </w:p>
    <w:p w14:paraId="786544C5" w14:textId="77777777" w:rsidR="007A4DF5" w:rsidRDefault="007A4DF5">
      <w:pPr>
        <w:rPr>
          <w:rFonts w:ascii="Arial" w:hAnsi="Arial" w:cs="Arial"/>
          <w:sz w:val="22"/>
          <w:szCs w:val="22"/>
        </w:rPr>
      </w:pPr>
    </w:p>
    <w:p w14:paraId="600C3A71" w14:textId="77777777" w:rsidR="007A4DF5" w:rsidRDefault="007A4DF5">
      <w:pPr>
        <w:rPr>
          <w:rFonts w:ascii="Arial" w:hAnsi="Arial" w:cs="Arial"/>
          <w:sz w:val="22"/>
          <w:szCs w:val="22"/>
        </w:rPr>
      </w:pPr>
    </w:p>
    <w:p w14:paraId="502AEB13" w14:textId="77777777" w:rsidR="007A4DF5" w:rsidRDefault="007A4DF5">
      <w:pPr>
        <w:rPr>
          <w:rFonts w:ascii="Arial" w:hAnsi="Arial" w:cs="Arial"/>
          <w:sz w:val="22"/>
          <w:szCs w:val="22"/>
        </w:rPr>
      </w:pPr>
    </w:p>
    <w:p w14:paraId="19891291" w14:textId="77777777" w:rsidR="007A4DF5" w:rsidRDefault="007A4DF5">
      <w:pPr>
        <w:rPr>
          <w:rFonts w:ascii="Arial" w:hAnsi="Arial" w:cs="Arial"/>
          <w:sz w:val="22"/>
          <w:szCs w:val="22"/>
        </w:rPr>
      </w:pPr>
    </w:p>
    <w:p w14:paraId="3A9A1646" w14:textId="77777777" w:rsidR="007A4DF5" w:rsidRDefault="007A4DF5">
      <w:pPr>
        <w:rPr>
          <w:rFonts w:ascii="Arial" w:hAnsi="Arial" w:cs="Arial"/>
          <w:sz w:val="22"/>
          <w:szCs w:val="22"/>
        </w:rPr>
      </w:pPr>
    </w:p>
    <w:p w14:paraId="44554DDA" w14:textId="77777777" w:rsidR="007A4DF5" w:rsidRDefault="007A4DF5">
      <w:pPr>
        <w:rPr>
          <w:rFonts w:ascii="Arial" w:hAnsi="Arial" w:cs="Arial"/>
          <w:sz w:val="22"/>
          <w:szCs w:val="22"/>
        </w:rPr>
      </w:pPr>
      <w:bookmarkStart w:id="0" w:name="_GoBack"/>
      <w:bookmarkEnd w:id="0"/>
    </w:p>
    <w:sectPr w:rsidR="007A4DF5" w:rsidSect="00D2187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876"/>
    <w:rsid w:val="001E1FCE"/>
    <w:rsid w:val="00431F67"/>
    <w:rsid w:val="007A4DF5"/>
    <w:rsid w:val="00925FC8"/>
    <w:rsid w:val="00D2187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08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876"/>
    <w:rPr>
      <w:rFonts w:ascii="Times New Roman" w:eastAsia="Times New Roman" w:hAnsi="Times New Roman" w:cs="Times New Roman"/>
    </w:rPr>
  </w:style>
  <w:style w:type="paragraph" w:styleId="Heading2">
    <w:name w:val="heading 2"/>
    <w:basedOn w:val="Normal"/>
    <w:next w:val="Normal"/>
    <w:link w:val="Heading2Char"/>
    <w:qFormat/>
    <w:rsid w:val="00D21876"/>
    <w:pPr>
      <w:keepNext/>
      <w:jc w:val="center"/>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1876"/>
    <w:rPr>
      <w:rFonts w:ascii="Arial" w:eastAsia="Times New Roman" w:hAnsi="Arial" w:cs="Times New Roman"/>
      <w:b/>
      <w:sz w:val="22"/>
    </w:rPr>
  </w:style>
  <w:style w:type="paragraph" w:styleId="NormalWeb">
    <w:name w:val="Normal (Web)"/>
    <w:basedOn w:val="Normal"/>
    <w:uiPriority w:val="99"/>
    <w:rsid w:val="00D21876"/>
    <w:pPr>
      <w:spacing w:before="120" w:after="240"/>
      <w:ind w:left="720" w:right="240"/>
    </w:pPr>
    <w:rPr>
      <w:rFonts w:ascii="Arial Unicode MS" w:eastAsia="Arial Unicode MS" w:hAnsi="Arial Unicode MS" w:cs="Arial Unicode MS"/>
    </w:rPr>
  </w:style>
  <w:style w:type="character" w:styleId="Emphasis">
    <w:name w:val="Emphasis"/>
    <w:basedOn w:val="DefaultParagraphFont"/>
    <w:uiPriority w:val="20"/>
    <w:qFormat/>
    <w:rsid w:val="00D21876"/>
    <w:rPr>
      <w:i/>
      <w:iCs/>
    </w:rPr>
  </w:style>
  <w:style w:type="character" w:styleId="Strong">
    <w:name w:val="Strong"/>
    <w:basedOn w:val="DefaultParagraphFont"/>
    <w:qFormat/>
    <w:rsid w:val="00D21876"/>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876"/>
    <w:rPr>
      <w:rFonts w:ascii="Times New Roman" w:eastAsia="Times New Roman" w:hAnsi="Times New Roman" w:cs="Times New Roman"/>
    </w:rPr>
  </w:style>
  <w:style w:type="paragraph" w:styleId="Heading2">
    <w:name w:val="heading 2"/>
    <w:basedOn w:val="Normal"/>
    <w:next w:val="Normal"/>
    <w:link w:val="Heading2Char"/>
    <w:qFormat/>
    <w:rsid w:val="00D21876"/>
    <w:pPr>
      <w:keepNext/>
      <w:jc w:val="center"/>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1876"/>
    <w:rPr>
      <w:rFonts w:ascii="Arial" w:eastAsia="Times New Roman" w:hAnsi="Arial" w:cs="Times New Roman"/>
      <w:b/>
      <w:sz w:val="22"/>
    </w:rPr>
  </w:style>
  <w:style w:type="paragraph" w:styleId="NormalWeb">
    <w:name w:val="Normal (Web)"/>
    <w:basedOn w:val="Normal"/>
    <w:uiPriority w:val="99"/>
    <w:rsid w:val="00D21876"/>
    <w:pPr>
      <w:spacing w:before="120" w:after="240"/>
      <w:ind w:left="720" w:right="240"/>
    </w:pPr>
    <w:rPr>
      <w:rFonts w:ascii="Arial Unicode MS" w:eastAsia="Arial Unicode MS" w:hAnsi="Arial Unicode MS" w:cs="Arial Unicode MS"/>
    </w:rPr>
  </w:style>
  <w:style w:type="character" w:styleId="Emphasis">
    <w:name w:val="Emphasis"/>
    <w:basedOn w:val="DefaultParagraphFont"/>
    <w:uiPriority w:val="20"/>
    <w:qFormat/>
    <w:rsid w:val="00D21876"/>
    <w:rPr>
      <w:i/>
      <w:iCs/>
    </w:rPr>
  </w:style>
  <w:style w:type="character" w:styleId="Strong">
    <w:name w:val="Strong"/>
    <w:basedOn w:val="DefaultParagraphFont"/>
    <w:qFormat/>
    <w:rsid w:val="00D218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864</Words>
  <Characters>4927</Characters>
  <Application>Microsoft Macintosh Word</Application>
  <DocSecurity>0</DocSecurity>
  <Lines>41</Lines>
  <Paragraphs>11</Paragraphs>
  <ScaleCrop>false</ScaleCrop>
  <Company>Allan Hancock College</Company>
  <LinksUpToDate>false</LinksUpToDate>
  <CharactersWithSpaces>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Ramirez Gelpi</dc:creator>
  <cp:keywords/>
  <cp:lastModifiedBy>Sofia Ramirez Gelpi</cp:lastModifiedBy>
  <cp:revision>3</cp:revision>
  <dcterms:created xsi:type="dcterms:W3CDTF">2012-05-17T20:25:00Z</dcterms:created>
  <dcterms:modified xsi:type="dcterms:W3CDTF">2014-04-21T22:03:00Z</dcterms:modified>
</cp:coreProperties>
</file>